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8C23" w14:textId="4240F11B" w:rsidR="0040445C" w:rsidRDefault="0040445C" w:rsidP="00C23E66">
      <w:pPr>
        <w:spacing w:after="160" w:line="259" w:lineRule="auto"/>
        <w:ind w:left="0" w:firstLine="0"/>
      </w:pPr>
    </w:p>
    <w:p w14:paraId="50CB78A2" w14:textId="77777777" w:rsidR="000128A5" w:rsidRDefault="00000000">
      <w:pPr>
        <w:spacing w:after="161" w:line="257" w:lineRule="auto"/>
        <w:ind w:left="0" w:firstLine="0"/>
        <w:jc w:val="center"/>
        <w:rPr>
          <w:rFonts w:ascii="Calibri" w:eastAsia="Calibri" w:hAnsi="Calibri" w:cs="Calibri"/>
          <w:b/>
          <w:sz w:val="28"/>
        </w:rPr>
      </w:pPr>
      <w:proofErr w:type="gramStart"/>
      <w:r>
        <w:rPr>
          <w:rFonts w:ascii="Calibri" w:eastAsia="Calibri" w:hAnsi="Calibri" w:cs="Calibri"/>
          <w:b/>
          <w:sz w:val="28"/>
        </w:rPr>
        <w:t>PRIORYTETY  WYDATKOWANIA</w:t>
      </w:r>
      <w:proofErr w:type="gramEnd"/>
      <w:r>
        <w:rPr>
          <w:rFonts w:ascii="Calibri" w:eastAsia="Calibri" w:hAnsi="Calibri" w:cs="Calibri"/>
          <w:b/>
          <w:sz w:val="28"/>
        </w:rPr>
        <w:t xml:space="preserve"> ŚRODKÓW </w:t>
      </w:r>
    </w:p>
    <w:p w14:paraId="29A63102" w14:textId="77777777" w:rsidR="000128A5" w:rsidRDefault="00000000">
      <w:pPr>
        <w:spacing w:after="161" w:line="257" w:lineRule="auto"/>
        <w:ind w:left="0" w:firstLine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KRAJOWEGO FUNDUSZU SZKOLENIOWEGO </w:t>
      </w:r>
    </w:p>
    <w:p w14:paraId="78FA1871" w14:textId="170AE04C" w:rsidR="0040445C" w:rsidRDefault="000128A5">
      <w:pPr>
        <w:spacing w:after="161" w:line="257" w:lineRule="auto"/>
        <w:ind w:left="0" w:firstLine="0"/>
        <w:jc w:val="center"/>
      </w:pPr>
      <w:r>
        <w:rPr>
          <w:rFonts w:ascii="Calibri" w:eastAsia="Calibri" w:hAnsi="Calibri" w:cs="Calibri"/>
          <w:b/>
          <w:sz w:val="28"/>
        </w:rPr>
        <w:t>NA 202</w:t>
      </w:r>
      <w:r w:rsidR="00A76A36">
        <w:rPr>
          <w:rFonts w:ascii="Calibri" w:eastAsia="Calibri" w:hAnsi="Calibri" w:cs="Calibri"/>
          <w:b/>
          <w:sz w:val="28"/>
        </w:rPr>
        <w:t>6</w:t>
      </w:r>
      <w:r>
        <w:rPr>
          <w:rFonts w:ascii="Calibri" w:eastAsia="Calibri" w:hAnsi="Calibri" w:cs="Calibri"/>
          <w:b/>
          <w:sz w:val="28"/>
        </w:rPr>
        <w:t xml:space="preserve"> r. </w:t>
      </w:r>
    </w:p>
    <w:p w14:paraId="2D889F50" w14:textId="77777777" w:rsidR="0040445C" w:rsidRDefault="00000000">
      <w:pPr>
        <w:spacing w:after="156" w:line="259" w:lineRule="auto"/>
        <w:ind w:left="0" w:firstLine="0"/>
        <w:jc w:val="left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 xml:space="preserve">                                                    KRYTERIA DOSTĘPU</w:t>
      </w:r>
      <w:r>
        <w:rPr>
          <w:rFonts w:ascii="Calibri" w:eastAsia="Calibri" w:hAnsi="Calibri" w:cs="Calibri"/>
          <w:i/>
          <w:sz w:val="28"/>
        </w:rPr>
        <w:t xml:space="preserve"> </w:t>
      </w:r>
    </w:p>
    <w:p w14:paraId="5AB25FB8" w14:textId="77777777" w:rsidR="000128A5" w:rsidRPr="00341EFE" w:rsidRDefault="000128A5" w:rsidP="00341EFE">
      <w:pPr>
        <w:spacing w:after="156" w:line="259" w:lineRule="auto"/>
        <w:ind w:left="0" w:firstLine="0"/>
        <w:rPr>
          <w:rFonts w:ascii="Calibri" w:eastAsia="Calibri" w:hAnsi="Calibri" w:cs="Calibri"/>
          <w:b/>
          <w:bCs/>
          <w:i/>
          <w:sz w:val="28"/>
        </w:rPr>
      </w:pPr>
    </w:p>
    <w:p w14:paraId="4474AB8D" w14:textId="2AA644D8" w:rsidR="000128A5" w:rsidRPr="00341EFE" w:rsidRDefault="000128A5" w:rsidP="00341EFE">
      <w:pPr>
        <w:pStyle w:val="Akapitzlist"/>
        <w:numPr>
          <w:ilvl w:val="0"/>
          <w:numId w:val="7"/>
        </w:numPr>
        <w:spacing w:after="156" w:line="276" w:lineRule="auto"/>
        <w:rPr>
          <w:b/>
          <w:bCs/>
          <w:sz w:val="24"/>
        </w:rPr>
      </w:pPr>
      <w:r w:rsidRPr="00341EFE">
        <w:rPr>
          <w:b/>
          <w:bCs/>
          <w:sz w:val="24"/>
        </w:rPr>
        <w:t xml:space="preserve">Poprawa zarządzania i komunikacji w firmie w oparciu o zasady przeciwdziałania dyskryminacji i </w:t>
      </w:r>
      <w:proofErr w:type="spellStart"/>
      <w:r w:rsidRPr="00341EFE">
        <w:rPr>
          <w:b/>
          <w:bCs/>
          <w:sz w:val="24"/>
        </w:rPr>
        <w:t>mobbingowi</w:t>
      </w:r>
      <w:proofErr w:type="spellEnd"/>
      <w:r w:rsidRPr="00341EFE">
        <w:rPr>
          <w:b/>
          <w:bCs/>
          <w:sz w:val="24"/>
        </w:rPr>
        <w:t>, rozwoju dialogu społecznego, partycypacji pracowniczej i wspierania integracji w miejscu pracy.</w:t>
      </w:r>
    </w:p>
    <w:p w14:paraId="27C012C1" w14:textId="77777777" w:rsidR="00E32A75" w:rsidRPr="00341EFE" w:rsidRDefault="00000000" w:rsidP="00341EFE">
      <w:pPr>
        <w:spacing w:after="13" w:line="276" w:lineRule="auto"/>
        <w:ind w:left="-5"/>
        <w:rPr>
          <w:sz w:val="24"/>
        </w:rPr>
      </w:pPr>
      <w:r w:rsidRPr="00341EFE">
        <w:rPr>
          <w:b/>
          <w:sz w:val="24"/>
        </w:rPr>
        <w:t xml:space="preserve"> </w:t>
      </w:r>
      <w:r w:rsidRPr="00341EFE">
        <w:rPr>
          <w:sz w:val="24"/>
        </w:rPr>
        <w:t xml:space="preserve"> </w:t>
      </w:r>
      <w:proofErr w:type="spellStart"/>
      <w:r w:rsidR="00E32A75" w:rsidRPr="00341EFE">
        <w:rPr>
          <w:sz w:val="24"/>
        </w:rPr>
        <w:t>Mobbing</w:t>
      </w:r>
      <w:proofErr w:type="spellEnd"/>
      <w:r w:rsidR="00E32A75" w:rsidRPr="00341EFE">
        <w:rPr>
          <w:sz w:val="24"/>
        </w:rPr>
        <w:t xml:space="preserve"> i dyskryminacji to jedno z najpoważniejszych zagrożeń spotykanych w wielu firmach. Dlatego kreowanie bezpiecznego i wspierającego środowiska pracy jest kluczową rolą pracodawców, sprzyja efektywności pracowników. Dlatego też dialog społeczny stanowi bardzo ważną funkcję w zapobieganiu tym zjawiskom. Poprzez współpracę między pracodawcami, pracownikami i związkami zawodowymi możliwe jest wykształcenie umiejętności identyfikowania oraz reagowania na </w:t>
      </w:r>
      <w:proofErr w:type="spellStart"/>
      <w:r w:rsidR="00E32A75" w:rsidRPr="00341EFE">
        <w:rPr>
          <w:sz w:val="24"/>
        </w:rPr>
        <w:t>mobbing</w:t>
      </w:r>
      <w:proofErr w:type="spellEnd"/>
      <w:r w:rsidR="00E32A75" w:rsidRPr="00341EFE">
        <w:rPr>
          <w:sz w:val="24"/>
        </w:rPr>
        <w:t xml:space="preserve"> i dyskryminację na każdym szczeblu organizacyjnym, co przyczynia się do budowania kultur organizacyjnych opartych na szacunku i równości. </w:t>
      </w:r>
    </w:p>
    <w:p w14:paraId="0E9C47B7" w14:textId="77777777" w:rsidR="00E32A75" w:rsidRPr="00341EFE" w:rsidRDefault="00E32A75" w:rsidP="00341EFE">
      <w:pPr>
        <w:spacing w:after="13" w:line="276" w:lineRule="auto"/>
        <w:ind w:left="-5"/>
        <w:rPr>
          <w:sz w:val="24"/>
        </w:rPr>
      </w:pPr>
      <w:r w:rsidRPr="00341EFE">
        <w:rPr>
          <w:sz w:val="24"/>
        </w:rPr>
        <w:t xml:space="preserve">Szkolenia powinny zatem zawierać tematykę, w ramach której pracodawcy i pracownicy zostaną wyposażeni w wiedzę i umiejętności m.in.: </w:t>
      </w:r>
    </w:p>
    <w:p w14:paraId="1C77E38A" w14:textId="77777777" w:rsidR="00E32A75" w:rsidRPr="00341EFE" w:rsidRDefault="00E32A75" w:rsidP="00341EFE">
      <w:pPr>
        <w:numPr>
          <w:ilvl w:val="0"/>
          <w:numId w:val="8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do rozpoznawania, rozumienia i przeciwdziałania </w:t>
      </w:r>
      <w:proofErr w:type="spellStart"/>
      <w:r w:rsidRPr="00341EFE">
        <w:rPr>
          <w:sz w:val="24"/>
        </w:rPr>
        <w:t>mobbingowi</w:t>
      </w:r>
      <w:proofErr w:type="spellEnd"/>
      <w:r w:rsidRPr="00341EFE">
        <w:rPr>
          <w:sz w:val="24"/>
        </w:rPr>
        <w:t xml:space="preserve"> w miejscu pracy, co zwiększy ich uważność na sposób komunikacji i budowania relacji w ich zespołach, </w:t>
      </w:r>
    </w:p>
    <w:p w14:paraId="3E60F77B" w14:textId="77777777" w:rsidR="00E32A75" w:rsidRPr="00341EFE" w:rsidRDefault="00E32A75" w:rsidP="00341EFE">
      <w:pPr>
        <w:numPr>
          <w:ilvl w:val="0"/>
          <w:numId w:val="8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dotyczące różnych form </w:t>
      </w:r>
      <w:proofErr w:type="spellStart"/>
      <w:r w:rsidRPr="00341EFE">
        <w:rPr>
          <w:sz w:val="24"/>
        </w:rPr>
        <w:t>mobbingu</w:t>
      </w:r>
      <w:proofErr w:type="spellEnd"/>
      <w:r w:rsidRPr="00341EFE">
        <w:rPr>
          <w:sz w:val="24"/>
        </w:rPr>
        <w:t xml:space="preserve">, jak zrozumieć jego wpływ na zespół oraz jak skutecznie reagować i zapobiegać sytuacjom o charakterze </w:t>
      </w:r>
      <w:proofErr w:type="spellStart"/>
      <w:r w:rsidRPr="00341EFE">
        <w:rPr>
          <w:sz w:val="24"/>
        </w:rPr>
        <w:t>mobbingu</w:t>
      </w:r>
      <w:proofErr w:type="spellEnd"/>
      <w:r w:rsidRPr="00341EFE">
        <w:rPr>
          <w:sz w:val="24"/>
        </w:rPr>
        <w:t xml:space="preserve"> w przyszłości, </w:t>
      </w:r>
    </w:p>
    <w:p w14:paraId="2902F510" w14:textId="04FA399F" w:rsidR="00E32A75" w:rsidRPr="00341EFE" w:rsidRDefault="00E32A75" w:rsidP="00341EFE">
      <w:pPr>
        <w:numPr>
          <w:ilvl w:val="0"/>
          <w:numId w:val="8"/>
        </w:numPr>
        <w:spacing w:after="13" w:line="276" w:lineRule="auto"/>
        <w:rPr>
          <w:sz w:val="24"/>
        </w:rPr>
      </w:pPr>
      <w:r w:rsidRPr="00341EFE">
        <w:rPr>
          <w:sz w:val="24"/>
        </w:rPr>
        <w:t>rozpoznawaniu/uważności (szczególnie menedżerowie/</w:t>
      </w:r>
      <w:proofErr w:type="gramStart"/>
      <w:r w:rsidRPr="00341EFE">
        <w:rPr>
          <w:sz w:val="24"/>
        </w:rPr>
        <w:t xml:space="preserve">pracownicy) </w:t>
      </w:r>
      <w:r w:rsidR="00341EFE">
        <w:rPr>
          <w:sz w:val="24"/>
        </w:rPr>
        <w:t xml:space="preserve">  </w:t>
      </w:r>
      <w:proofErr w:type="gramEnd"/>
      <w:r w:rsidR="00341EFE">
        <w:rPr>
          <w:sz w:val="24"/>
        </w:rPr>
        <w:t xml:space="preserve">                   </w:t>
      </w:r>
      <w:r w:rsidRPr="00341EFE">
        <w:rPr>
          <w:sz w:val="24"/>
        </w:rPr>
        <w:t xml:space="preserve">na zachowaniu i relacji w zespołach, </w:t>
      </w:r>
    </w:p>
    <w:p w14:paraId="7180364F" w14:textId="77777777" w:rsidR="00E32A75" w:rsidRPr="00341EFE" w:rsidRDefault="00E32A75" w:rsidP="00341EFE">
      <w:pPr>
        <w:numPr>
          <w:ilvl w:val="0"/>
          <w:numId w:val="8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do promowania bezpiecznego i wspierającego środowiska pracy, </w:t>
      </w:r>
    </w:p>
    <w:p w14:paraId="5EB06A2F" w14:textId="77777777" w:rsidR="00E32A75" w:rsidRPr="00341EFE" w:rsidRDefault="00E32A75" w:rsidP="00341EFE">
      <w:pPr>
        <w:numPr>
          <w:ilvl w:val="0"/>
          <w:numId w:val="8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na temat skutków społecznych i prawnych </w:t>
      </w:r>
      <w:proofErr w:type="spellStart"/>
      <w:r w:rsidRPr="00341EFE">
        <w:rPr>
          <w:sz w:val="24"/>
        </w:rPr>
        <w:t>mobbingu</w:t>
      </w:r>
      <w:proofErr w:type="spellEnd"/>
      <w:r w:rsidRPr="00341EFE">
        <w:rPr>
          <w:sz w:val="24"/>
        </w:rPr>
        <w:t xml:space="preserve"> lub dyskryminacji, </w:t>
      </w:r>
    </w:p>
    <w:p w14:paraId="30E68616" w14:textId="77777777" w:rsidR="00E32A75" w:rsidRPr="00341EFE" w:rsidRDefault="00E32A75" w:rsidP="00341EFE">
      <w:pPr>
        <w:numPr>
          <w:ilvl w:val="0"/>
          <w:numId w:val="8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dotyczące wdrażania procedur przeciwdziałania i reagowania na przypadki nieprawidłowości. </w:t>
      </w:r>
    </w:p>
    <w:p w14:paraId="16B2BAE2" w14:textId="77777777" w:rsidR="00E32A75" w:rsidRPr="00341EFE" w:rsidRDefault="00E32A75" w:rsidP="00341EFE">
      <w:pPr>
        <w:spacing w:after="0" w:line="276" w:lineRule="auto"/>
        <w:ind w:left="720" w:firstLine="0"/>
        <w:rPr>
          <w:sz w:val="24"/>
        </w:rPr>
      </w:pPr>
      <w:r w:rsidRPr="00341EFE">
        <w:rPr>
          <w:sz w:val="24"/>
        </w:rPr>
        <w:t xml:space="preserve"> </w:t>
      </w:r>
    </w:p>
    <w:p w14:paraId="61B82F1D" w14:textId="77777777" w:rsidR="00E32A75" w:rsidRPr="00341EFE" w:rsidRDefault="00E32A75" w:rsidP="00341EFE">
      <w:pPr>
        <w:spacing w:after="13" w:line="276" w:lineRule="auto"/>
        <w:ind w:left="-5"/>
        <w:rPr>
          <w:sz w:val="24"/>
        </w:rPr>
      </w:pPr>
      <w:r w:rsidRPr="00341EFE">
        <w:rPr>
          <w:sz w:val="24"/>
        </w:rPr>
        <w:t xml:space="preserve">Szkolenia tego typu mają na celu wzmocnienie umiejętności zarządzania, poprawę komunikacji wewnętrznej oraz stworzenie środowiska opartego na równości, integracji i zaangażowaniu pracowników. Realizacja tych celów wpływa na budowanie kultury organizacji, która sprzyja efektywności i zadowoleniu zespołu. </w:t>
      </w:r>
    </w:p>
    <w:p w14:paraId="71F46285" w14:textId="77777777" w:rsidR="00E32A75" w:rsidRPr="00341EFE" w:rsidRDefault="00E32A75" w:rsidP="00341EFE">
      <w:pPr>
        <w:spacing w:after="0" w:line="276" w:lineRule="auto"/>
        <w:ind w:left="0" w:firstLine="0"/>
        <w:rPr>
          <w:sz w:val="24"/>
        </w:rPr>
      </w:pPr>
      <w:r w:rsidRPr="00341EFE">
        <w:rPr>
          <w:sz w:val="24"/>
        </w:rPr>
        <w:t xml:space="preserve"> </w:t>
      </w:r>
    </w:p>
    <w:p w14:paraId="4774733D" w14:textId="77777777" w:rsidR="00E32A75" w:rsidRPr="00341EFE" w:rsidRDefault="00E32A75" w:rsidP="00341EFE">
      <w:pPr>
        <w:spacing w:after="13" w:line="276" w:lineRule="auto"/>
        <w:ind w:left="-5"/>
        <w:rPr>
          <w:sz w:val="24"/>
        </w:rPr>
      </w:pPr>
      <w:r w:rsidRPr="00341EFE">
        <w:rPr>
          <w:sz w:val="24"/>
        </w:rPr>
        <w:t xml:space="preserve">Priorytet ten ma również zachęcać do tworzenia i oferuje wsparcie w zakresie zasad funkcjonowania i działania rad pracowniczych – na poziomie unijnym i poszczególnych krajów UE. Ma pomóc znaleźć odpowiedź na pytanie jak promować reprezentację pracowniczą w postaci rad pracowniczych w Polsce. W Obliczu wymogu prawnego (ustawa z dnia 7 kwietnia </w:t>
      </w:r>
      <w:r w:rsidRPr="00341EFE">
        <w:rPr>
          <w:sz w:val="24"/>
        </w:rPr>
        <w:lastRenderedPageBreak/>
        <w:t xml:space="preserve">2006 r. o </w:t>
      </w:r>
      <w:r w:rsidRPr="00341EFE">
        <w:rPr>
          <w:i/>
          <w:sz w:val="24"/>
        </w:rPr>
        <w:t xml:space="preserve">informowaniu pracowników i przeprowadzaniu z nimi konsultacji </w:t>
      </w:r>
      <w:r w:rsidRPr="00341EFE">
        <w:rPr>
          <w:sz w:val="24"/>
        </w:rPr>
        <w:t xml:space="preserve">(Dz. U. nr 79, poz. 550) powołania Rady Pracowników przez pracodawców zatrudniających co najmniej 50 pracowników lub na wniosek co najmniej 10% załogi, staje się jasne, jak kluczowe jest prawidłowe funkcjonowanie tych organów. </w:t>
      </w:r>
    </w:p>
    <w:p w14:paraId="5975CCCA" w14:textId="77777777" w:rsidR="00E32A75" w:rsidRPr="00341EFE" w:rsidRDefault="00E32A75" w:rsidP="00341EFE">
      <w:pPr>
        <w:spacing w:after="0" w:line="276" w:lineRule="auto"/>
        <w:ind w:left="0" w:firstLine="0"/>
        <w:jc w:val="left"/>
        <w:rPr>
          <w:sz w:val="24"/>
        </w:rPr>
      </w:pPr>
      <w:r w:rsidRPr="00341EFE">
        <w:rPr>
          <w:sz w:val="24"/>
        </w:rPr>
        <w:t xml:space="preserve"> </w:t>
      </w:r>
    </w:p>
    <w:p w14:paraId="173E553A" w14:textId="77777777" w:rsidR="00E32A75" w:rsidRPr="00341EFE" w:rsidRDefault="00E32A75" w:rsidP="00341EFE">
      <w:pPr>
        <w:spacing w:after="13" w:line="276" w:lineRule="auto"/>
        <w:ind w:left="-5"/>
        <w:rPr>
          <w:sz w:val="24"/>
        </w:rPr>
      </w:pPr>
      <w:r w:rsidRPr="00341EFE">
        <w:rPr>
          <w:sz w:val="24"/>
        </w:rPr>
        <w:t xml:space="preserve">Rady Pracowników pełnią istotną rolę w zapewnieniu płynności komunikacji pomiędzy pracownikami a pracodawcą, szczególnie w przypadkach, gdzie związki zawodowe nie są obecne. </w:t>
      </w:r>
    </w:p>
    <w:p w14:paraId="4D583E81" w14:textId="77777777" w:rsidR="00E32A75" w:rsidRPr="00341EFE" w:rsidRDefault="00E32A75" w:rsidP="00341EFE">
      <w:pPr>
        <w:spacing w:after="0" w:line="276" w:lineRule="auto"/>
        <w:ind w:left="0" w:firstLine="0"/>
        <w:jc w:val="left"/>
        <w:rPr>
          <w:sz w:val="24"/>
        </w:rPr>
      </w:pPr>
      <w:r w:rsidRPr="00341EFE">
        <w:rPr>
          <w:sz w:val="24"/>
        </w:rPr>
        <w:t xml:space="preserve"> </w:t>
      </w:r>
    </w:p>
    <w:p w14:paraId="33569D09" w14:textId="6C76E223" w:rsidR="0040445C" w:rsidRPr="00341EFE" w:rsidRDefault="00E32A75" w:rsidP="00341EFE">
      <w:pPr>
        <w:spacing w:after="13" w:line="276" w:lineRule="auto"/>
        <w:ind w:left="-5"/>
        <w:rPr>
          <w:sz w:val="24"/>
        </w:rPr>
      </w:pPr>
      <w:r w:rsidRPr="00341EFE">
        <w:rPr>
          <w:sz w:val="24"/>
        </w:rPr>
        <w:t xml:space="preserve">Priorytet adresowany do wszystkich zainteresowanych pracodawców. Nie ma znaczenia kod PKD czy profil działalności. Zachęca do tworzenia i oferuje wsparcie w zakresie zasad funkcjonowania i działania rad pracowniczych – na poziomie unijnym i poszczególnych krajów UE. </w:t>
      </w:r>
    </w:p>
    <w:p w14:paraId="30BD71FC" w14:textId="77777777" w:rsidR="00E32A75" w:rsidRPr="00341EFE" w:rsidRDefault="00E32A75" w:rsidP="00341EFE">
      <w:pPr>
        <w:spacing w:after="13" w:line="276" w:lineRule="auto"/>
        <w:ind w:left="-5"/>
        <w:rPr>
          <w:sz w:val="24"/>
        </w:rPr>
      </w:pPr>
    </w:p>
    <w:p w14:paraId="705085A0" w14:textId="600660B4" w:rsidR="00E32A75" w:rsidRPr="00341EFE" w:rsidRDefault="00E32A75" w:rsidP="00341EFE">
      <w:pPr>
        <w:pStyle w:val="Akapitzlist"/>
        <w:numPr>
          <w:ilvl w:val="0"/>
          <w:numId w:val="7"/>
        </w:numPr>
        <w:spacing w:after="13" w:line="276" w:lineRule="auto"/>
        <w:rPr>
          <w:b/>
          <w:bCs/>
          <w:sz w:val="24"/>
        </w:rPr>
      </w:pPr>
      <w:r w:rsidRPr="00341EFE">
        <w:rPr>
          <w:b/>
          <w:bCs/>
          <w:sz w:val="24"/>
        </w:rPr>
        <w:t>Wsparcie rozwoju umiejętności i kwalifikacji w zawodach określonych jako deficytowe na danym terenie, tj. w powiecie lub w województwie.</w:t>
      </w:r>
    </w:p>
    <w:p w14:paraId="0DBA72DD" w14:textId="77777777" w:rsidR="00E32A75" w:rsidRPr="00341EFE" w:rsidRDefault="00E32A75" w:rsidP="00341EFE">
      <w:pPr>
        <w:pStyle w:val="Akapitzlist"/>
        <w:spacing w:after="13" w:line="276" w:lineRule="auto"/>
        <w:ind w:firstLine="0"/>
        <w:rPr>
          <w:b/>
          <w:bCs/>
          <w:sz w:val="24"/>
        </w:rPr>
      </w:pPr>
    </w:p>
    <w:p w14:paraId="1A1B283F" w14:textId="77777777" w:rsidR="00E32A75" w:rsidRPr="00341EFE" w:rsidRDefault="00E32A75" w:rsidP="00341EFE">
      <w:pPr>
        <w:spacing w:after="87" w:line="276" w:lineRule="auto"/>
        <w:ind w:left="-5"/>
        <w:rPr>
          <w:sz w:val="24"/>
        </w:rPr>
      </w:pPr>
      <w:r w:rsidRPr="00341EFE">
        <w:rPr>
          <w:sz w:val="24"/>
        </w:rPr>
        <w:t xml:space="preserve">Przyjęte sformułowanie niniejszego priorytetu pozwala na sfinansowanie kształcenia ustawicznego w zakresie umiejętności </w:t>
      </w:r>
      <w:proofErr w:type="spellStart"/>
      <w:r w:rsidRPr="00341EFE">
        <w:rPr>
          <w:sz w:val="24"/>
        </w:rPr>
        <w:t>ogólno</w:t>
      </w:r>
      <w:proofErr w:type="spellEnd"/>
      <w:r w:rsidRPr="00341EFE">
        <w:rPr>
          <w:sz w:val="24"/>
        </w:rPr>
        <w:t xml:space="preserve"> – zawodowych </w:t>
      </w:r>
      <w:proofErr w:type="gramStart"/>
      <w:r w:rsidRPr="00341EFE">
        <w:rPr>
          <w:sz w:val="24"/>
        </w:rPr>
        <w:t>( w</w:t>
      </w:r>
      <w:proofErr w:type="gramEnd"/>
      <w:r w:rsidRPr="00341EFE">
        <w:rPr>
          <w:sz w:val="24"/>
        </w:rPr>
        <w:t xml:space="preserve"> tym tzw. kompetencji miękkich), o ile powiązane </w:t>
      </w:r>
      <w:proofErr w:type="gramStart"/>
      <w:r w:rsidRPr="00341EFE">
        <w:rPr>
          <w:sz w:val="24"/>
        </w:rPr>
        <w:t>są  one</w:t>
      </w:r>
      <w:proofErr w:type="gramEnd"/>
      <w:r w:rsidRPr="00341EFE">
        <w:rPr>
          <w:sz w:val="24"/>
        </w:rPr>
        <w:t xml:space="preserve"> z wykonywaniem pracy   w zawodzie deficytowym. </w:t>
      </w:r>
    </w:p>
    <w:p w14:paraId="1EE3C085" w14:textId="20B8C82F" w:rsidR="00E32A75" w:rsidRPr="00341EFE" w:rsidRDefault="00E32A75" w:rsidP="00341EFE">
      <w:pPr>
        <w:spacing w:after="89" w:line="276" w:lineRule="auto"/>
        <w:ind w:left="-5"/>
        <w:rPr>
          <w:sz w:val="24"/>
        </w:rPr>
      </w:pPr>
      <w:r w:rsidRPr="00341EFE">
        <w:rPr>
          <w:sz w:val="24"/>
        </w:rPr>
        <w:t xml:space="preserve">Należy zwrócić uwagę, że granica pomiędzy szkoleniami zawodowymi a tzw. „miękkimi” nie jest jednoznaczna. Przykładowo: szkolenie dotyczące umiejętności autoprezentacji </w:t>
      </w:r>
      <w:r w:rsidR="00341EFE">
        <w:rPr>
          <w:sz w:val="24"/>
        </w:rPr>
        <w:t xml:space="preserve">                                   </w:t>
      </w:r>
      <w:r w:rsidRPr="00341EFE">
        <w:rPr>
          <w:sz w:val="24"/>
        </w:rPr>
        <w:t>i nawiązywania kontaktów interpersonalnych dla sprzedawcy czy agenta nieruchomości jest jak najbardziej szkoleniem zawodowym. Podobnie przy szkoleniach językowych – dla kierowcy TIR-a jeżdżącego na trasach międzynarodowych kurs języka obcego jest szkoleniem zawodowym. W takich przypadkach kluczowa rolę odgrywa uzasadnienie odbycia szkolenia</w:t>
      </w:r>
      <w:r w:rsidR="00341EFE">
        <w:rPr>
          <w:sz w:val="24"/>
        </w:rPr>
        <w:t xml:space="preserve">                 </w:t>
      </w:r>
      <w:r w:rsidRPr="00341EFE">
        <w:rPr>
          <w:sz w:val="24"/>
        </w:rPr>
        <w:t xml:space="preserve"> i na tej podstawie powiatowy urząd pracy będzie mógł podjąć decyzję co do przyznania dofinansowania.  </w:t>
      </w:r>
    </w:p>
    <w:p w14:paraId="741FDC30" w14:textId="36308E40" w:rsidR="00E32A75" w:rsidRPr="00341EFE" w:rsidRDefault="00E32A75" w:rsidP="00341EFE">
      <w:pPr>
        <w:spacing w:after="13" w:line="276" w:lineRule="auto"/>
        <w:ind w:left="-5"/>
        <w:rPr>
          <w:sz w:val="24"/>
        </w:rPr>
      </w:pPr>
      <w:r w:rsidRPr="00341EFE">
        <w:rPr>
          <w:sz w:val="24"/>
        </w:rPr>
        <w:t xml:space="preserve">Składając wniosek o dofinansowanie z KFS w ramach tego priorytetu pracodawca powinien wskazać, że wnioskowana forma kształcenia ustawicznego dotyczy zawodu deficytowego na terenie powiatu białobrzeskiego. Oznacza to zawód zidentyfikowany jako deficytowy </w:t>
      </w:r>
      <w:r w:rsidR="00341EFE">
        <w:rPr>
          <w:sz w:val="24"/>
        </w:rPr>
        <w:t xml:space="preserve">                            </w:t>
      </w:r>
      <w:r w:rsidRPr="00341EFE">
        <w:rPr>
          <w:sz w:val="24"/>
        </w:rPr>
        <w:t xml:space="preserve">w oparciu o wyniki „Barometru zawodów” 2026 dla powiatu białobrzeskiego. </w:t>
      </w:r>
    </w:p>
    <w:p w14:paraId="225D7AAC" w14:textId="4664D76F" w:rsidR="00E32A75" w:rsidRPr="00341EFE" w:rsidRDefault="00E32A75" w:rsidP="00341EFE">
      <w:pPr>
        <w:spacing w:after="13" w:line="276" w:lineRule="auto"/>
        <w:ind w:left="-5"/>
        <w:rPr>
          <w:sz w:val="24"/>
        </w:rPr>
      </w:pPr>
      <w:r w:rsidRPr="00341EFE">
        <w:rPr>
          <w:b/>
          <w:sz w:val="24"/>
          <w:u w:val="single" w:color="000000"/>
        </w:rPr>
        <w:t xml:space="preserve">Zawody </w:t>
      </w:r>
      <w:proofErr w:type="gramStart"/>
      <w:r w:rsidRPr="00341EFE">
        <w:rPr>
          <w:b/>
          <w:sz w:val="24"/>
          <w:u w:val="single" w:color="000000"/>
        </w:rPr>
        <w:t>deficytowe  w</w:t>
      </w:r>
      <w:proofErr w:type="gramEnd"/>
      <w:r w:rsidRPr="00341EFE">
        <w:rPr>
          <w:b/>
          <w:sz w:val="24"/>
          <w:u w:val="single" w:color="000000"/>
        </w:rPr>
        <w:t xml:space="preserve"> powiecie białobrzeskim na 2026r.:</w:t>
      </w:r>
      <w:r w:rsidRPr="00341EFE">
        <w:rPr>
          <w:b/>
          <w:sz w:val="24"/>
        </w:rPr>
        <w:t xml:space="preserve"> </w:t>
      </w:r>
    </w:p>
    <w:p w14:paraId="7737CF7B" w14:textId="77777777" w:rsidR="00E32A75" w:rsidRPr="00341EFE" w:rsidRDefault="00E32A75" w:rsidP="00341EFE">
      <w:pPr>
        <w:spacing w:after="23" w:line="276" w:lineRule="auto"/>
        <w:ind w:left="0" w:firstLine="0"/>
        <w:jc w:val="left"/>
        <w:rPr>
          <w:sz w:val="24"/>
        </w:rPr>
      </w:pPr>
      <w:r w:rsidRPr="00341EFE">
        <w:rPr>
          <w:sz w:val="24"/>
        </w:rPr>
        <w:t xml:space="preserve"> </w:t>
      </w:r>
    </w:p>
    <w:p w14:paraId="331F87F6" w14:textId="4F77CAF9" w:rsidR="00E32A75" w:rsidRPr="00341EFE" w:rsidRDefault="00235993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>c</w:t>
      </w:r>
      <w:r w:rsidR="00E32A75" w:rsidRPr="00341EFE">
        <w:rPr>
          <w:sz w:val="24"/>
        </w:rPr>
        <w:t>ieśle i stolarze budowlani,</w:t>
      </w:r>
    </w:p>
    <w:p w14:paraId="5BAFBFF5" w14:textId="7905198E" w:rsidR="00E32A75" w:rsidRPr="00341EFE" w:rsidRDefault="00235993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>e</w:t>
      </w:r>
      <w:r w:rsidR="00E32A75" w:rsidRPr="00341EFE">
        <w:rPr>
          <w:sz w:val="24"/>
        </w:rPr>
        <w:t xml:space="preserve">lektrycy i energetycy, </w:t>
      </w:r>
    </w:p>
    <w:p w14:paraId="006400CF" w14:textId="7BD54C2E" w:rsidR="00E32A75" w:rsidRPr="00341EFE" w:rsidRDefault="00235993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>f</w:t>
      </w:r>
      <w:r w:rsidR="00E32A75" w:rsidRPr="00341EFE">
        <w:rPr>
          <w:sz w:val="24"/>
        </w:rPr>
        <w:t xml:space="preserve">izjoterapeuci i masażyści, </w:t>
      </w:r>
    </w:p>
    <w:p w14:paraId="177FC0C5" w14:textId="1E4F1814" w:rsidR="00E32A75" w:rsidRPr="00341EFE" w:rsidRDefault="00E32A75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fryzjerzy, </w:t>
      </w:r>
    </w:p>
    <w:p w14:paraId="1B13088E" w14:textId="78F6D7DE" w:rsidR="00E32A75" w:rsidRPr="00341EFE" w:rsidRDefault="00235993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>instruktorzy rekreacji i sportu</w:t>
      </w:r>
      <w:r w:rsidR="00E32A75" w:rsidRPr="00341EFE">
        <w:rPr>
          <w:sz w:val="24"/>
        </w:rPr>
        <w:t xml:space="preserve">, </w:t>
      </w:r>
    </w:p>
    <w:p w14:paraId="443C0044" w14:textId="7900B8C6" w:rsidR="00E32A75" w:rsidRPr="00341EFE" w:rsidRDefault="00235993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>kierowcy samochodów ciężarowych i ciągników siodłowych</w:t>
      </w:r>
      <w:r w:rsidR="00E32A75" w:rsidRPr="00341EFE">
        <w:rPr>
          <w:sz w:val="24"/>
        </w:rPr>
        <w:t xml:space="preserve">,  </w:t>
      </w:r>
    </w:p>
    <w:p w14:paraId="4CE30419" w14:textId="77777777" w:rsidR="00E32A75" w:rsidRPr="00341EFE" w:rsidRDefault="00E32A75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lekarze, </w:t>
      </w:r>
    </w:p>
    <w:p w14:paraId="3C21134A" w14:textId="77777777" w:rsidR="00E32A75" w:rsidRPr="00341EFE" w:rsidRDefault="00E32A75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magazynierzy,  </w:t>
      </w:r>
    </w:p>
    <w:p w14:paraId="5BEDE06A" w14:textId="40D87500" w:rsidR="00E32A75" w:rsidRPr="00341EFE" w:rsidRDefault="00E32A75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lastRenderedPageBreak/>
        <w:t>monterzy instalacji budowlanych</w:t>
      </w:r>
      <w:r w:rsidR="00235993" w:rsidRPr="00341EFE">
        <w:rPr>
          <w:sz w:val="24"/>
        </w:rPr>
        <w:t>,</w:t>
      </w:r>
      <w:r w:rsidRPr="00341EFE">
        <w:rPr>
          <w:sz w:val="24"/>
        </w:rPr>
        <w:t xml:space="preserve"> </w:t>
      </w:r>
    </w:p>
    <w:p w14:paraId="4FC716E0" w14:textId="77777777" w:rsidR="00E32A75" w:rsidRPr="00341EFE" w:rsidRDefault="00E32A75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nauczyciele przedszkoli,  </w:t>
      </w:r>
    </w:p>
    <w:p w14:paraId="23C57D72" w14:textId="77777777" w:rsidR="00E32A75" w:rsidRPr="00341EFE" w:rsidRDefault="00E32A75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operatorzy i mechanicy sprzętu do robót ziemnych, </w:t>
      </w:r>
    </w:p>
    <w:p w14:paraId="6A6A51BB" w14:textId="38946234" w:rsidR="00E32A75" w:rsidRPr="00341EFE" w:rsidRDefault="00235993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>opiekunowie osoby starszej lub z niepełnosprawnością</w:t>
      </w:r>
      <w:r w:rsidR="00E32A75" w:rsidRPr="00341EFE">
        <w:rPr>
          <w:sz w:val="24"/>
        </w:rPr>
        <w:t xml:space="preserve">,  </w:t>
      </w:r>
    </w:p>
    <w:p w14:paraId="0BCE728A" w14:textId="4EB54EF9" w:rsidR="00E32A75" w:rsidRPr="00341EFE" w:rsidRDefault="00235993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>pielęgniarki i położne</w:t>
      </w:r>
      <w:r w:rsidR="00E32A75" w:rsidRPr="00341EFE">
        <w:rPr>
          <w:sz w:val="24"/>
        </w:rPr>
        <w:t xml:space="preserve">, </w:t>
      </w:r>
    </w:p>
    <w:p w14:paraId="0A0CD86D" w14:textId="77777777" w:rsidR="00E32A75" w:rsidRPr="00341EFE" w:rsidRDefault="00E32A75" w:rsidP="00341EFE">
      <w:pPr>
        <w:numPr>
          <w:ilvl w:val="0"/>
          <w:numId w:val="9"/>
        </w:numPr>
        <w:spacing w:after="13" w:line="276" w:lineRule="auto"/>
        <w:rPr>
          <w:sz w:val="24"/>
        </w:rPr>
      </w:pPr>
      <w:r w:rsidRPr="00341EFE">
        <w:rPr>
          <w:sz w:val="24"/>
        </w:rPr>
        <w:t xml:space="preserve">pracownicy służb mundurowych, </w:t>
      </w:r>
    </w:p>
    <w:p w14:paraId="6BBD3C12" w14:textId="4B0D573E" w:rsidR="00235993" w:rsidRPr="00341EFE" w:rsidRDefault="00235993" w:rsidP="00341EFE">
      <w:pPr>
        <w:numPr>
          <w:ilvl w:val="0"/>
          <w:numId w:val="9"/>
        </w:numPr>
        <w:spacing w:after="0" w:line="276" w:lineRule="auto"/>
        <w:rPr>
          <w:sz w:val="24"/>
        </w:rPr>
      </w:pPr>
      <w:r w:rsidRPr="00341EFE">
        <w:rPr>
          <w:sz w:val="24"/>
        </w:rPr>
        <w:t>pracownicy usług kosmetycznych,</w:t>
      </w:r>
    </w:p>
    <w:p w14:paraId="7E382E71" w14:textId="59D8C1FC" w:rsidR="00235993" w:rsidRPr="00341EFE" w:rsidRDefault="00235993" w:rsidP="00341EFE">
      <w:pPr>
        <w:numPr>
          <w:ilvl w:val="0"/>
          <w:numId w:val="9"/>
        </w:numPr>
        <w:spacing w:after="0" w:line="276" w:lineRule="auto"/>
        <w:rPr>
          <w:sz w:val="24"/>
        </w:rPr>
      </w:pPr>
      <w:r w:rsidRPr="00341EFE">
        <w:rPr>
          <w:sz w:val="24"/>
        </w:rPr>
        <w:t>robotnicy obróbki drewna i stolarze,</w:t>
      </w:r>
    </w:p>
    <w:p w14:paraId="46BD5441" w14:textId="75FF9783" w:rsidR="00235993" w:rsidRPr="00341EFE" w:rsidRDefault="00235993" w:rsidP="00341EFE">
      <w:pPr>
        <w:numPr>
          <w:ilvl w:val="0"/>
          <w:numId w:val="9"/>
        </w:numPr>
        <w:spacing w:after="0" w:line="276" w:lineRule="auto"/>
        <w:rPr>
          <w:sz w:val="24"/>
        </w:rPr>
      </w:pPr>
      <w:r w:rsidRPr="00341EFE">
        <w:rPr>
          <w:sz w:val="24"/>
        </w:rPr>
        <w:t>samodzielni księgowi,</w:t>
      </w:r>
    </w:p>
    <w:p w14:paraId="73E2B167" w14:textId="68A64D79" w:rsidR="00E32A75" w:rsidRPr="00341EFE" w:rsidRDefault="00235993" w:rsidP="00341EFE">
      <w:pPr>
        <w:numPr>
          <w:ilvl w:val="0"/>
          <w:numId w:val="9"/>
        </w:numPr>
        <w:spacing w:after="0" w:line="276" w:lineRule="auto"/>
        <w:rPr>
          <w:sz w:val="24"/>
        </w:rPr>
      </w:pPr>
      <w:r w:rsidRPr="00341EFE">
        <w:rPr>
          <w:sz w:val="24"/>
        </w:rPr>
        <w:t>spawacze.</w:t>
      </w:r>
    </w:p>
    <w:p w14:paraId="5D0CA852" w14:textId="0DDCCE40" w:rsidR="00E32A75" w:rsidRPr="00341EFE" w:rsidRDefault="00E32A75" w:rsidP="00341EFE">
      <w:pPr>
        <w:spacing w:after="181" w:line="276" w:lineRule="auto"/>
        <w:ind w:left="-5" w:right="-8"/>
        <w:jc w:val="left"/>
        <w:rPr>
          <w:sz w:val="24"/>
        </w:rPr>
      </w:pPr>
      <w:r w:rsidRPr="00341EFE">
        <w:rPr>
          <w:sz w:val="24"/>
        </w:rPr>
        <w:t xml:space="preserve">Z dofinansowanych form kształcenia ustawicznego w ramach tego priorytetu mogą skorzystać zarówno osoby pracujące w zawodach określonych jako deficytowe jak i osoby zamierzające wykonywać zadania </w:t>
      </w:r>
      <w:r w:rsidR="00341EFE" w:rsidRPr="00341EFE">
        <w:rPr>
          <w:sz w:val="24"/>
        </w:rPr>
        <w:t>związane z</w:t>
      </w:r>
      <w:r w:rsidRPr="00341EFE">
        <w:rPr>
          <w:sz w:val="24"/>
        </w:rPr>
        <w:t xml:space="preserve"> zawodem deficytowym w przyszłości. </w:t>
      </w:r>
    </w:p>
    <w:p w14:paraId="7672A13D" w14:textId="77777777" w:rsidR="00235993" w:rsidRPr="00341EFE" w:rsidRDefault="00235993" w:rsidP="00341EFE">
      <w:pPr>
        <w:spacing w:after="181" w:line="276" w:lineRule="auto"/>
        <w:ind w:left="-5" w:right="-8"/>
        <w:jc w:val="left"/>
        <w:rPr>
          <w:sz w:val="24"/>
        </w:rPr>
      </w:pPr>
    </w:p>
    <w:p w14:paraId="7B38C015" w14:textId="37975571" w:rsidR="00235993" w:rsidRPr="00341EFE" w:rsidRDefault="00235993" w:rsidP="00341EFE">
      <w:pPr>
        <w:pStyle w:val="Akapitzlist"/>
        <w:numPr>
          <w:ilvl w:val="0"/>
          <w:numId w:val="7"/>
        </w:numPr>
        <w:spacing w:after="181" w:line="276" w:lineRule="auto"/>
        <w:ind w:right="-8"/>
        <w:rPr>
          <w:b/>
          <w:bCs/>
          <w:sz w:val="24"/>
        </w:rPr>
      </w:pPr>
      <w:r w:rsidRPr="00341EFE">
        <w:rPr>
          <w:b/>
          <w:bCs/>
          <w:sz w:val="24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041E76C9" w14:textId="77777777" w:rsidR="00235993" w:rsidRPr="00341EFE" w:rsidRDefault="00235993" w:rsidP="00341EFE">
      <w:pPr>
        <w:pStyle w:val="Akapitzlist"/>
        <w:spacing w:after="0" w:line="276" w:lineRule="auto"/>
        <w:ind w:firstLine="0"/>
        <w:rPr>
          <w:b/>
          <w:sz w:val="24"/>
        </w:rPr>
      </w:pPr>
    </w:p>
    <w:p w14:paraId="1FBFC1F5" w14:textId="77777777" w:rsidR="00235993" w:rsidRPr="00341EFE" w:rsidRDefault="00235993" w:rsidP="00341EFE">
      <w:pPr>
        <w:spacing w:after="0" w:line="276" w:lineRule="auto"/>
        <w:rPr>
          <w:sz w:val="24"/>
        </w:rPr>
      </w:pPr>
      <w:r w:rsidRPr="00341EFE">
        <w:rPr>
          <w:sz w:val="24"/>
        </w:rPr>
        <w:t xml:space="preserve">Wnioskodawca chcący skorzystać ze środków KFS w ramach wyżej wymienionego priorytetu musi udowodnić, że w </w:t>
      </w:r>
      <w:r w:rsidRPr="00341EFE">
        <w:rPr>
          <w:color w:val="auto"/>
          <w:sz w:val="24"/>
        </w:rPr>
        <w:t>ciągu jednego roku przed złożeniem wniosku bądź w ciągu trzech miesięcy po jego złożeniu</w:t>
      </w:r>
      <w:r w:rsidRPr="00341EFE">
        <w:rPr>
          <w:sz w:val="24"/>
        </w:rPr>
        <w:t xml:space="preserve"> zostały/ zostaną zakupione nowe narzędzia pracy, bądź zostały/ będą wdrożone nowe procesy lub technologie, a osoby objęte kształceniem ustawicznym będą wykonywać nowe zadania związane z wprowadzonymi /planowanymi do wprowadzenia zmianami.</w:t>
      </w:r>
    </w:p>
    <w:p w14:paraId="1A808BAE" w14:textId="77777777" w:rsidR="00235993" w:rsidRPr="00341EFE" w:rsidRDefault="00235993" w:rsidP="00341EFE">
      <w:pPr>
        <w:spacing w:after="0" w:line="276" w:lineRule="auto"/>
        <w:rPr>
          <w:sz w:val="24"/>
        </w:rPr>
      </w:pPr>
      <w:r w:rsidRPr="00341EFE">
        <w:rPr>
          <w:sz w:val="24"/>
        </w:rPr>
        <w:t xml:space="preserve">Decyzja o uwzględnieniu wniosku złożonego w ramach ww. priorytetu zostanie podjęta na podstawie jakiegokolwiek </w:t>
      </w:r>
      <w:r w:rsidRPr="00341EFE">
        <w:rPr>
          <w:sz w:val="24"/>
          <w:u w:val="single"/>
        </w:rPr>
        <w:t>wiarygodnego dokumentu</w:t>
      </w:r>
      <w:r w:rsidRPr="00341EFE">
        <w:rPr>
          <w:sz w:val="24"/>
        </w:rPr>
        <w:t xml:space="preserve"> </w:t>
      </w:r>
      <w:r w:rsidRPr="00341EFE">
        <w:rPr>
          <w:sz w:val="24"/>
          <w:u w:val="single"/>
        </w:rPr>
        <w:t>dostarczonego przez wnioskodawcę</w:t>
      </w:r>
      <w:r w:rsidRPr="00341EFE">
        <w:rPr>
          <w:sz w:val="24"/>
        </w:rPr>
        <w:t xml:space="preserve">, np. kopii dokumentu zakupu, decyzji dyrektora/ zarządu o wprowadzeniu norm ISO, itp. oraz </w:t>
      </w:r>
      <w:r w:rsidRPr="00341EFE">
        <w:rPr>
          <w:sz w:val="24"/>
          <w:u w:val="single"/>
        </w:rPr>
        <w:t>logicznego i wiarygodnego uzasadnienia</w:t>
      </w:r>
      <w:r w:rsidRPr="00341EFE">
        <w:rPr>
          <w:sz w:val="24"/>
        </w:rPr>
        <w:t>.</w:t>
      </w:r>
    </w:p>
    <w:p w14:paraId="507B441D" w14:textId="77777777" w:rsidR="00235993" w:rsidRPr="00341EFE" w:rsidRDefault="00235993" w:rsidP="00341EFE">
      <w:pPr>
        <w:spacing w:after="0" w:line="276" w:lineRule="auto"/>
        <w:rPr>
          <w:sz w:val="24"/>
        </w:rPr>
      </w:pPr>
      <w:r w:rsidRPr="00341EFE">
        <w:rPr>
          <w:sz w:val="24"/>
        </w:rPr>
        <w:t>Wsparciem kształcenia ustawicznego w ramach priorytetu można objąć jedynie osobę, która w ramach wykonywania swoich zadań zawodowych/ na stanowisku pracy korzysta lub będzie korzystała z nowych technologii i narzędzi pracy lub która wymaga nabycia nowych kompetencji niezbędnych do wykonywania pracy w związku z wdrożeniem nowego procesu.</w:t>
      </w:r>
    </w:p>
    <w:p w14:paraId="23F0E554" w14:textId="77777777" w:rsidR="00235993" w:rsidRPr="00341EFE" w:rsidRDefault="00235993" w:rsidP="00341EFE">
      <w:pPr>
        <w:spacing w:after="0" w:line="276" w:lineRule="auto"/>
        <w:rPr>
          <w:sz w:val="24"/>
        </w:rPr>
      </w:pPr>
      <w:r w:rsidRPr="00341EFE">
        <w:rPr>
          <w:sz w:val="24"/>
        </w:rPr>
        <w:t>Podmiot wnioskujący o dofinansowanie podniesienia kompetencji cyfrowych w ramach ww. priorytetu, powinien wykazać w uzasadnieniu, że posiadanie konkretnych umiejętności cyfrowych, AI oraz tzw. umiejętności zielonych, które objęte są tematyką wnioskowanej formy kształcenia ustawicznego, jest powiązane z pracą wykonywaną przez osobę kierowaną na szkolenie. Wnioskodawca w uzasadnieniu wskazuje potrzebę nabycia nowych umiejętności.</w:t>
      </w:r>
    </w:p>
    <w:p w14:paraId="2B417682" w14:textId="77777777" w:rsidR="00235993" w:rsidRPr="00341EFE" w:rsidRDefault="00235993" w:rsidP="00341EFE">
      <w:pPr>
        <w:spacing w:after="0" w:line="276" w:lineRule="auto"/>
        <w:rPr>
          <w:sz w:val="24"/>
        </w:rPr>
      </w:pPr>
    </w:p>
    <w:p w14:paraId="158B8063" w14:textId="77777777" w:rsidR="00235993" w:rsidRDefault="00235993" w:rsidP="00341EFE">
      <w:pPr>
        <w:spacing w:after="0" w:line="276" w:lineRule="auto"/>
        <w:rPr>
          <w:sz w:val="24"/>
        </w:rPr>
      </w:pPr>
    </w:p>
    <w:p w14:paraId="1603A4C2" w14:textId="77777777" w:rsidR="00857B5B" w:rsidRPr="00341EFE" w:rsidRDefault="00857B5B" w:rsidP="00341EFE">
      <w:pPr>
        <w:spacing w:after="0" w:line="276" w:lineRule="auto"/>
        <w:rPr>
          <w:sz w:val="24"/>
        </w:rPr>
      </w:pPr>
    </w:p>
    <w:p w14:paraId="76742801" w14:textId="418CA907" w:rsidR="00235993" w:rsidRPr="00341EFE" w:rsidRDefault="00235993" w:rsidP="00341EFE">
      <w:pPr>
        <w:pStyle w:val="Akapitzlist"/>
        <w:numPr>
          <w:ilvl w:val="0"/>
          <w:numId w:val="7"/>
        </w:numPr>
        <w:spacing w:after="0" w:line="276" w:lineRule="auto"/>
        <w:rPr>
          <w:b/>
          <w:bCs/>
          <w:sz w:val="24"/>
        </w:rPr>
      </w:pPr>
      <w:r w:rsidRPr="00341EFE">
        <w:rPr>
          <w:b/>
          <w:bCs/>
          <w:sz w:val="24"/>
        </w:rPr>
        <w:lastRenderedPageBreak/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341EFE">
        <w:rPr>
          <w:b/>
          <w:bCs/>
          <w:sz w:val="24"/>
        </w:rPr>
        <w:t>MRPiPS</w:t>
      </w:r>
      <w:proofErr w:type="spellEnd"/>
      <w:r w:rsidRPr="00341EFE">
        <w:rPr>
          <w:b/>
          <w:bCs/>
          <w:sz w:val="24"/>
        </w:rPr>
        <w:t>.</w:t>
      </w:r>
    </w:p>
    <w:p w14:paraId="029FB1C2" w14:textId="77777777" w:rsidR="00235993" w:rsidRPr="00341EFE" w:rsidRDefault="00235993" w:rsidP="00341EFE">
      <w:pPr>
        <w:spacing w:after="0" w:line="276" w:lineRule="auto"/>
        <w:ind w:left="360" w:firstLine="0"/>
        <w:rPr>
          <w:sz w:val="24"/>
        </w:rPr>
      </w:pPr>
    </w:p>
    <w:p w14:paraId="634DF8D6" w14:textId="77777777" w:rsidR="00235993" w:rsidRPr="00341EFE" w:rsidRDefault="00235993" w:rsidP="00341EFE">
      <w:pPr>
        <w:spacing w:after="0" w:line="276" w:lineRule="auto"/>
        <w:rPr>
          <w:sz w:val="24"/>
        </w:rPr>
      </w:pPr>
      <w:r w:rsidRPr="00341EFE">
        <w:rPr>
          <w:sz w:val="24"/>
        </w:rPr>
        <w:t>Celem wprowadzenia niniejszego priorytetu jest chęć wsparcia osób zatrudnionych w sektorze usług zdrowotnych i opiekuńczych. Warunkiem skorzystania z dostępnych środków jest oświadczenie wnioskodawcy o konieczności odbycia wnioskowanego szkolenia lub nabycia określonych umiejętności z zakresu usług zdrowotnych i opiekuńczych</w:t>
      </w:r>
    </w:p>
    <w:p w14:paraId="41501E42" w14:textId="77777777" w:rsidR="00235993" w:rsidRPr="00341EFE" w:rsidRDefault="00235993" w:rsidP="00341EFE">
      <w:pPr>
        <w:spacing w:after="0" w:line="276" w:lineRule="auto"/>
        <w:rPr>
          <w:sz w:val="24"/>
        </w:rPr>
      </w:pPr>
      <w:r w:rsidRPr="00341EFE">
        <w:rPr>
          <w:sz w:val="24"/>
        </w:rPr>
        <w:t xml:space="preserve">Dostęp do priorytetu ma każdy wnioskodawca posiadający </w:t>
      </w:r>
      <w:r w:rsidRPr="00341EFE">
        <w:rPr>
          <w:color w:val="auto"/>
          <w:sz w:val="24"/>
        </w:rPr>
        <w:t xml:space="preserve">na dzień 01.01.2026 r. </w:t>
      </w:r>
      <w:r w:rsidRPr="00341EFE">
        <w:rPr>
          <w:sz w:val="24"/>
        </w:rPr>
        <w:t>PKD 2025 w Sekcji Q lub PKD 2025 w Sekcji</w:t>
      </w:r>
      <w:r w:rsidRPr="00341EFE">
        <w:rPr>
          <w:b/>
          <w:bCs/>
          <w:sz w:val="24"/>
        </w:rPr>
        <w:t xml:space="preserve"> </w:t>
      </w:r>
      <w:r w:rsidRPr="00341EFE">
        <w:rPr>
          <w:sz w:val="24"/>
        </w:rPr>
        <w:t>R tj. Opieka zdrowotna i pomoc społeczna w działach:</w:t>
      </w:r>
    </w:p>
    <w:p w14:paraId="39A58EC3" w14:textId="77777777" w:rsidR="00235993" w:rsidRPr="00341EFE" w:rsidRDefault="00235993" w:rsidP="00341EFE">
      <w:pPr>
        <w:numPr>
          <w:ilvl w:val="0"/>
          <w:numId w:val="11"/>
        </w:numPr>
        <w:spacing w:after="0" w:line="276" w:lineRule="auto"/>
        <w:rPr>
          <w:sz w:val="24"/>
        </w:rPr>
      </w:pPr>
      <w:r w:rsidRPr="00341EFE">
        <w:rPr>
          <w:sz w:val="24"/>
        </w:rPr>
        <w:t xml:space="preserve">86 - opieka zdrowotna, </w:t>
      </w:r>
    </w:p>
    <w:p w14:paraId="1F629EF1" w14:textId="77777777" w:rsidR="00235993" w:rsidRPr="00341EFE" w:rsidRDefault="00235993" w:rsidP="00341EFE">
      <w:pPr>
        <w:numPr>
          <w:ilvl w:val="0"/>
          <w:numId w:val="11"/>
        </w:numPr>
        <w:spacing w:after="0" w:line="276" w:lineRule="auto"/>
        <w:rPr>
          <w:sz w:val="24"/>
        </w:rPr>
      </w:pPr>
      <w:r w:rsidRPr="00341EFE">
        <w:rPr>
          <w:sz w:val="24"/>
        </w:rPr>
        <w:t>87 - pomoc społeczna z zakwaterowaniem,</w:t>
      </w:r>
    </w:p>
    <w:p w14:paraId="25783DB2" w14:textId="77777777" w:rsidR="00235993" w:rsidRPr="00341EFE" w:rsidRDefault="00235993" w:rsidP="00341EFE">
      <w:pPr>
        <w:numPr>
          <w:ilvl w:val="0"/>
          <w:numId w:val="11"/>
        </w:numPr>
        <w:spacing w:after="0" w:line="276" w:lineRule="auto"/>
        <w:rPr>
          <w:sz w:val="24"/>
        </w:rPr>
      </w:pPr>
      <w:r w:rsidRPr="00341EFE">
        <w:rPr>
          <w:sz w:val="24"/>
        </w:rPr>
        <w:t>88 - pomoc społeczna bez zakwaterowania.</w:t>
      </w:r>
    </w:p>
    <w:p w14:paraId="10E3ADB5" w14:textId="77777777" w:rsidR="00235993" w:rsidRPr="00341EFE" w:rsidRDefault="00235993" w:rsidP="00341EFE">
      <w:pPr>
        <w:pStyle w:val="Default"/>
        <w:spacing w:line="276" w:lineRule="auto"/>
        <w:ind w:left="1843"/>
        <w:jc w:val="both"/>
        <w:rPr>
          <w:color w:val="auto"/>
        </w:rPr>
      </w:pPr>
    </w:p>
    <w:p w14:paraId="098BBCA5" w14:textId="77777777" w:rsidR="00235993" w:rsidRPr="00341EFE" w:rsidRDefault="00235993" w:rsidP="00341EFE">
      <w:pPr>
        <w:pStyle w:val="Default"/>
        <w:spacing w:line="276" w:lineRule="auto"/>
        <w:jc w:val="both"/>
        <w:rPr>
          <w:color w:val="auto"/>
        </w:rPr>
      </w:pPr>
      <w:r w:rsidRPr="00341EFE">
        <w:rPr>
          <w:color w:val="auto"/>
        </w:rPr>
        <w:t xml:space="preserve">Ze środków w ramach tego priorytetu korzystać mogą również wszyscy pracownicy przedsiębiorstw społecznych pracownicy i członkowie spółdzielni socjalnych. </w:t>
      </w:r>
    </w:p>
    <w:p w14:paraId="50D0A8C8" w14:textId="77777777" w:rsidR="00235993" w:rsidRPr="00341EFE" w:rsidRDefault="00235993" w:rsidP="00341EFE">
      <w:pPr>
        <w:pStyle w:val="Default"/>
        <w:spacing w:line="276" w:lineRule="auto"/>
        <w:ind w:left="1843"/>
        <w:jc w:val="both"/>
        <w:rPr>
          <w:color w:val="auto"/>
        </w:rPr>
      </w:pPr>
    </w:p>
    <w:p w14:paraId="6FE7EC40" w14:textId="77777777" w:rsidR="00235993" w:rsidRPr="00341EFE" w:rsidRDefault="00235993" w:rsidP="00341EFE">
      <w:pPr>
        <w:pStyle w:val="Default"/>
        <w:numPr>
          <w:ilvl w:val="0"/>
          <w:numId w:val="10"/>
        </w:numPr>
        <w:spacing w:line="276" w:lineRule="auto"/>
        <w:ind w:left="709" w:hanging="567"/>
        <w:jc w:val="both"/>
        <w:rPr>
          <w:color w:val="auto"/>
        </w:rPr>
      </w:pPr>
      <w:r w:rsidRPr="00341EFE">
        <w:rPr>
          <w:b/>
          <w:bCs/>
          <w:color w:val="auto"/>
        </w:rPr>
        <w:t xml:space="preserve">Przedsiębiorstwa społeczne </w:t>
      </w:r>
      <w:r w:rsidRPr="00341EFE">
        <w:rPr>
          <w:color w:val="auto"/>
        </w:rPr>
        <w:t xml:space="preserve">wpisane na listę przedsiębiorstw społecznych prowadzoną przez </w:t>
      </w:r>
      <w:proofErr w:type="spellStart"/>
      <w:r w:rsidRPr="00341EFE">
        <w:rPr>
          <w:color w:val="auto"/>
        </w:rPr>
        <w:t>MRPiPS</w:t>
      </w:r>
      <w:proofErr w:type="spellEnd"/>
      <w:r w:rsidRPr="00341EFE">
        <w:rPr>
          <w:color w:val="auto"/>
        </w:rPr>
        <w:t xml:space="preserve"> - lista ta jest dostępna pod adresem </w:t>
      </w:r>
      <w:hyperlink r:id="rId5" w:history="1">
        <w:r w:rsidRPr="00341EFE">
          <w:rPr>
            <w:rStyle w:val="Hipercze"/>
          </w:rPr>
          <w:t>http://www.bazaps.ekonomiaspoleczna.gov.pl/</w:t>
        </w:r>
      </w:hyperlink>
      <w:r w:rsidRPr="00341EFE">
        <w:rPr>
          <w:color w:val="auto"/>
        </w:rPr>
        <w:t xml:space="preserve"> w formie interaktywnej bazy danych. Lista jest prowadzona, weryfikowana i uzupełniana przez </w:t>
      </w:r>
      <w:proofErr w:type="spellStart"/>
      <w:r w:rsidRPr="00341EFE">
        <w:rPr>
          <w:color w:val="auto"/>
        </w:rPr>
        <w:t>MRPiPS</w:t>
      </w:r>
      <w:proofErr w:type="spellEnd"/>
      <w:r w:rsidRPr="00341EFE">
        <w:rPr>
          <w:color w:val="auto"/>
        </w:rPr>
        <w:t xml:space="preserve">, z tego względu nie ma konieczności prowadzenia dodatkowej weryfikacji na potrzeby ustalenia czy wnioskodawca aplikujący o wsparcie spełnia przesłanki niezbędne do uzyskania tego statusu, wystarczy jedynie sprawdzić, czy w momencie składania wniosku figuruje on na aktualnej liście przedsiębiorstw społecznych. Status przedsiębiorstwa społecznego mogą uzyskać m.in. organizacje pozarządowe (np. fundacje i stowarzyszenia) spółki non-profit, spółdzielnie socjalne, a także kościelne osoby prawne. </w:t>
      </w:r>
    </w:p>
    <w:p w14:paraId="2F5F4D29" w14:textId="77777777" w:rsidR="00235993" w:rsidRPr="00341EFE" w:rsidRDefault="00235993" w:rsidP="00341EFE">
      <w:pPr>
        <w:pStyle w:val="Default"/>
        <w:numPr>
          <w:ilvl w:val="0"/>
          <w:numId w:val="10"/>
        </w:numPr>
        <w:spacing w:line="276" w:lineRule="auto"/>
        <w:ind w:left="709" w:hanging="567"/>
        <w:jc w:val="both"/>
        <w:rPr>
          <w:color w:val="auto"/>
        </w:rPr>
      </w:pPr>
      <w:r w:rsidRPr="00341EFE">
        <w:rPr>
          <w:b/>
          <w:bCs/>
          <w:color w:val="auto"/>
        </w:rPr>
        <w:t xml:space="preserve">Spółdzielnie socjalne </w:t>
      </w:r>
      <w:r w:rsidRPr="00341EFE">
        <w:rPr>
          <w:color w:val="auto"/>
        </w:rPr>
        <w:t xml:space="preserve">- to podmioty wpisane do Krajowego Rejestru Sądowego, na tej podstawie można zweryfikować ich formę prawną. Niektóre spółdzielnie socjalne mogą uzyskać status przedsiębiorstwa społecznego. W takiej sytuacji ich uprawnienia do skorzystania ze wsparcia w ramach tego priorytetu można potwierdzić na podstawie listy przedsiębiorstw społecznych, o której mowa powyżej. Bez względu na to czy spółdzielnia socjalna posiada status przedsiębiorstwa społecznego, jest ona uprawniona do skorzystania ze środków w ramach tego priorytetu. </w:t>
      </w:r>
    </w:p>
    <w:p w14:paraId="761FE5BF" w14:textId="77777777" w:rsidR="00235993" w:rsidRPr="00341EFE" w:rsidRDefault="00235993" w:rsidP="00341EFE">
      <w:pPr>
        <w:spacing w:after="0" w:line="276" w:lineRule="auto"/>
        <w:rPr>
          <w:b/>
          <w:sz w:val="24"/>
        </w:rPr>
      </w:pPr>
    </w:p>
    <w:p w14:paraId="5FC5C7BE" w14:textId="77777777" w:rsidR="00235993" w:rsidRPr="00341EFE" w:rsidRDefault="00235993" w:rsidP="00341EFE">
      <w:pPr>
        <w:spacing w:after="0" w:line="276" w:lineRule="auto"/>
        <w:rPr>
          <w:b/>
          <w:sz w:val="24"/>
        </w:rPr>
      </w:pPr>
    </w:p>
    <w:p w14:paraId="05736932" w14:textId="77777777" w:rsidR="00235993" w:rsidRPr="00341EFE" w:rsidRDefault="00235993" w:rsidP="00341EFE">
      <w:pPr>
        <w:spacing w:after="181" w:line="276" w:lineRule="auto"/>
        <w:ind w:right="-8"/>
        <w:jc w:val="left"/>
        <w:rPr>
          <w:sz w:val="24"/>
        </w:rPr>
      </w:pPr>
    </w:p>
    <w:p w14:paraId="2BEA8BEA" w14:textId="77777777" w:rsidR="00E32A75" w:rsidRPr="00341EFE" w:rsidRDefault="00E32A75" w:rsidP="00341EFE">
      <w:pPr>
        <w:spacing w:after="13" w:line="276" w:lineRule="auto"/>
        <w:rPr>
          <w:sz w:val="24"/>
        </w:rPr>
      </w:pPr>
    </w:p>
    <w:p w14:paraId="1CD33285" w14:textId="77777777" w:rsidR="0040445C" w:rsidRPr="00341EFE" w:rsidRDefault="00000000" w:rsidP="00341EFE">
      <w:pPr>
        <w:spacing w:after="156" w:line="276" w:lineRule="auto"/>
        <w:ind w:left="0" w:firstLine="0"/>
        <w:jc w:val="left"/>
        <w:rPr>
          <w:sz w:val="24"/>
        </w:rPr>
      </w:pPr>
      <w:r w:rsidRPr="00341EFE">
        <w:rPr>
          <w:sz w:val="24"/>
        </w:rPr>
        <w:t xml:space="preserve"> </w:t>
      </w:r>
    </w:p>
    <w:p w14:paraId="6D45E065" w14:textId="77777777" w:rsidR="0040445C" w:rsidRPr="00341EFE" w:rsidRDefault="00000000" w:rsidP="00341EFE">
      <w:pPr>
        <w:spacing w:after="158" w:line="276" w:lineRule="auto"/>
        <w:ind w:left="0" w:firstLine="0"/>
        <w:jc w:val="left"/>
        <w:rPr>
          <w:sz w:val="24"/>
        </w:rPr>
      </w:pPr>
      <w:r w:rsidRPr="00341EFE">
        <w:rPr>
          <w:sz w:val="24"/>
        </w:rPr>
        <w:t xml:space="preserve"> </w:t>
      </w:r>
    </w:p>
    <w:p w14:paraId="2CBE78DB" w14:textId="77777777" w:rsidR="0040445C" w:rsidRPr="00341EFE" w:rsidRDefault="00000000" w:rsidP="00341EFE">
      <w:pPr>
        <w:spacing w:after="0" w:line="276" w:lineRule="auto"/>
        <w:ind w:left="0" w:right="9021" w:firstLine="0"/>
        <w:rPr>
          <w:sz w:val="24"/>
        </w:rPr>
      </w:pPr>
      <w:r w:rsidRPr="00341EFE">
        <w:rPr>
          <w:sz w:val="24"/>
        </w:rPr>
        <w:lastRenderedPageBreak/>
        <w:t xml:space="preserve"> </w:t>
      </w:r>
      <w:r w:rsidRPr="00341EFE">
        <w:rPr>
          <w:rFonts w:eastAsia="Calibri"/>
          <w:sz w:val="24"/>
        </w:rPr>
        <w:t xml:space="preserve"> </w:t>
      </w:r>
    </w:p>
    <w:sectPr w:rsidR="0040445C" w:rsidRPr="00341EFE">
      <w:pgSz w:w="11906" w:h="16838"/>
      <w:pgMar w:top="1409" w:right="1413" w:bottom="144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E"/>
    <w:multiLevelType w:val="hybridMultilevel"/>
    <w:tmpl w:val="42284964"/>
    <w:lvl w:ilvl="0" w:tplc="EBE4180E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845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27C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84FD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8BB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492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C700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EC80B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60D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53933"/>
    <w:multiLevelType w:val="hybridMultilevel"/>
    <w:tmpl w:val="40069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5B80"/>
    <w:multiLevelType w:val="hybridMultilevel"/>
    <w:tmpl w:val="0988151A"/>
    <w:lvl w:ilvl="0" w:tplc="F03A7DF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4507C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A2DDC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4A816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6D77C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CD192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40378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5C40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0E35C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E3366"/>
    <w:multiLevelType w:val="hybridMultilevel"/>
    <w:tmpl w:val="073C03D4"/>
    <w:lvl w:ilvl="0" w:tplc="20D25DC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84A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22E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8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E2C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4C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4CC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C96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8D5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D215E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E933F2"/>
    <w:multiLevelType w:val="hybridMultilevel"/>
    <w:tmpl w:val="F752B70E"/>
    <w:lvl w:ilvl="0" w:tplc="1830285A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0A77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A97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4E0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8D4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C89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E28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210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2DC3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89329B"/>
    <w:multiLevelType w:val="hybridMultilevel"/>
    <w:tmpl w:val="5D340B52"/>
    <w:lvl w:ilvl="0" w:tplc="851868BA">
      <w:start w:val="1"/>
      <w:numFmt w:val="bullet"/>
      <w:lvlText w:val="-"/>
      <w:lvlJc w:val="left"/>
      <w:pPr>
        <w:ind w:left="1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4AA68">
      <w:start w:val="1"/>
      <w:numFmt w:val="bullet"/>
      <w:lvlText w:val="o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478D6">
      <w:start w:val="1"/>
      <w:numFmt w:val="bullet"/>
      <w:lvlText w:val="▪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083DE">
      <w:start w:val="1"/>
      <w:numFmt w:val="bullet"/>
      <w:lvlText w:val="•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149B8A">
      <w:start w:val="1"/>
      <w:numFmt w:val="bullet"/>
      <w:lvlText w:val="o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AA9FA">
      <w:start w:val="1"/>
      <w:numFmt w:val="bullet"/>
      <w:lvlText w:val="▪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22926">
      <w:start w:val="1"/>
      <w:numFmt w:val="bullet"/>
      <w:lvlText w:val="•"/>
      <w:lvlJc w:val="left"/>
      <w:pPr>
        <w:ind w:left="5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703A9C">
      <w:start w:val="1"/>
      <w:numFmt w:val="bullet"/>
      <w:lvlText w:val="o"/>
      <w:lvlJc w:val="left"/>
      <w:pPr>
        <w:ind w:left="6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A152A">
      <w:start w:val="1"/>
      <w:numFmt w:val="bullet"/>
      <w:lvlText w:val="▪"/>
      <w:lvlJc w:val="left"/>
      <w:pPr>
        <w:ind w:left="7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3A0C9C"/>
    <w:multiLevelType w:val="hybridMultilevel"/>
    <w:tmpl w:val="C2827E5C"/>
    <w:lvl w:ilvl="0" w:tplc="2A8246C8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EE45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ED6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84F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60F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2CB4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B34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87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2D6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D40286"/>
    <w:multiLevelType w:val="hybridMultilevel"/>
    <w:tmpl w:val="0290A9AA"/>
    <w:lvl w:ilvl="0" w:tplc="74AEC3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01B38">
      <w:start w:val="1"/>
      <w:numFmt w:val="bullet"/>
      <w:lvlText w:val="o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5AB67E">
      <w:start w:val="1"/>
      <w:numFmt w:val="bullet"/>
      <w:lvlText w:val="▪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BC8B18">
      <w:start w:val="1"/>
      <w:numFmt w:val="bullet"/>
      <w:lvlText w:val="•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5C8956">
      <w:start w:val="1"/>
      <w:numFmt w:val="bullet"/>
      <w:lvlText w:val="o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1ED28E">
      <w:start w:val="1"/>
      <w:numFmt w:val="bullet"/>
      <w:lvlText w:val="▪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E8A78">
      <w:start w:val="1"/>
      <w:numFmt w:val="bullet"/>
      <w:lvlText w:val="•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181448">
      <w:start w:val="1"/>
      <w:numFmt w:val="bullet"/>
      <w:lvlText w:val="o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D8BA3C">
      <w:start w:val="1"/>
      <w:numFmt w:val="bullet"/>
      <w:lvlText w:val="▪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8F335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453" w:hanging="360"/>
      </w:pPr>
      <w:rPr>
        <w:rFonts w:ascii="Wingdings" w:hAnsi="Wingdings" w:hint="default"/>
      </w:rPr>
    </w:lvl>
  </w:abstractNum>
  <w:abstractNum w:abstractNumId="10" w15:restartNumberingAfterBreak="0">
    <w:nsid w:val="7A0E3D30"/>
    <w:multiLevelType w:val="hybridMultilevel"/>
    <w:tmpl w:val="018EF272"/>
    <w:lvl w:ilvl="0" w:tplc="A96E6DA2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C9BD8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C4490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8EB36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CB9C8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AE92A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89646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66B32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2C902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9432989">
    <w:abstractNumId w:val="10"/>
  </w:num>
  <w:num w:numId="2" w16cid:durableId="218785118">
    <w:abstractNumId w:val="3"/>
  </w:num>
  <w:num w:numId="3" w16cid:durableId="1669943126">
    <w:abstractNumId w:val="0"/>
  </w:num>
  <w:num w:numId="4" w16cid:durableId="1809854524">
    <w:abstractNumId w:val="5"/>
  </w:num>
  <w:num w:numId="5" w16cid:durableId="1320111041">
    <w:abstractNumId w:val="8"/>
  </w:num>
  <w:num w:numId="6" w16cid:durableId="1539274819">
    <w:abstractNumId w:val="6"/>
  </w:num>
  <w:num w:numId="7" w16cid:durableId="376517592">
    <w:abstractNumId w:val="1"/>
  </w:num>
  <w:num w:numId="8" w16cid:durableId="1400522191">
    <w:abstractNumId w:val="7"/>
  </w:num>
  <w:num w:numId="9" w16cid:durableId="363945818">
    <w:abstractNumId w:val="2"/>
  </w:num>
  <w:num w:numId="10" w16cid:durableId="1569027904">
    <w:abstractNumId w:val="4"/>
  </w:num>
  <w:num w:numId="11" w16cid:durableId="637957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5C"/>
    <w:rsid w:val="000128A5"/>
    <w:rsid w:val="00235993"/>
    <w:rsid w:val="002B1C39"/>
    <w:rsid w:val="002F4A45"/>
    <w:rsid w:val="00341EFE"/>
    <w:rsid w:val="0035157D"/>
    <w:rsid w:val="0037085F"/>
    <w:rsid w:val="0040445C"/>
    <w:rsid w:val="005517C6"/>
    <w:rsid w:val="00857B5B"/>
    <w:rsid w:val="00A76A36"/>
    <w:rsid w:val="00AC667F"/>
    <w:rsid w:val="00BD383A"/>
    <w:rsid w:val="00C23E66"/>
    <w:rsid w:val="00D21976"/>
    <w:rsid w:val="00DF61D0"/>
    <w:rsid w:val="00E32A75"/>
    <w:rsid w:val="00F0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E36A"/>
  <w15:docId w15:val="{CF452F68-E3D1-4939-8B49-CC2415BF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8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35993"/>
    <w:rPr>
      <w:rFonts w:cs="Times New Roman"/>
      <w:color w:val="0000FF"/>
      <w:u w:val="single"/>
    </w:rPr>
  </w:style>
  <w:style w:type="paragraph" w:customStyle="1" w:styleId="Default">
    <w:name w:val="Default"/>
    <w:rsid w:val="00235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zaps.ekonomiaspoleczn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1385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cp:lastModifiedBy>aktywizacja bialobrzegi</cp:lastModifiedBy>
  <cp:revision>14</cp:revision>
  <dcterms:created xsi:type="dcterms:W3CDTF">2026-04-01T12:36:00Z</dcterms:created>
  <dcterms:modified xsi:type="dcterms:W3CDTF">2026-04-08T09:44:00Z</dcterms:modified>
</cp:coreProperties>
</file>