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CED2" w14:textId="6BBE7808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jc w:val="center"/>
        <w:textAlignment w:val="baseline"/>
        <w:rPr>
          <w:rFonts w:ascii="Source Sans Pro" w:hAnsi="Source Sans Pro"/>
          <w:b/>
          <w:bCs/>
          <w:color w:val="333333"/>
          <w:sz w:val="22"/>
          <w:szCs w:val="22"/>
        </w:rPr>
      </w:pPr>
      <w:r w:rsidRPr="00870D91">
        <w:rPr>
          <w:rFonts w:ascii="Source Sans Pro" w:hAnsi="Source Sans Pro"/>
          <w:b/>
          <w:bCs/>
          <w:color w:val="333333"/>
          <w:sz w:val="22"/>
          <w:szCs w:val="22"/>
        </w:rPr>
        <w:t>DYREKTOR OKRĘGOWY SŁUŻBY WIĘZIENNEJ W WARSZAWIE</w:t>
      </w:r>
    </w:p>
    <w:p w14:paraId="1173A6D2" w14:textId="47F5D9AE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zgodnie z ustawą z dnia 9 kwietnia 2010 r. o Służbie Więziennej (Dz. U. z 2021 r., poz. 1064 z </w:t>
      </w:r>
      <w:proofErr w:type="spellStart"/>
      <w:r w:rsidRPr="00870D91">
        <w:rPr>
          <w:rFonts w:ascii="Source Sans Pro" w:hAnsi="Source Sans Pro"/>
          <w:color w:val="333333"/>
          <w:sz w:val="22"/>
          <w:szCs w:val="22"/>
        </w:rPr>
        <w:t>późn</w:t>
      </w:r>
      <w:proofErr w:type="spellEnd"/>
      <w:r w:rsidRPr="00870D91">
        <w:rPr>
          <w:rFonts w:ascii="Source Sans Pro" w:hAnsi="Source Sans Pro"/>
          <w:color w:val="333333"/>
          <w:sz w:val="22"/>
          <w:szCs w:val="22"/>
        </w:rPr>
        <w:t>. zm.) oraz z rozporządzeniem Ministra Sprawiedliwości z dnia 1 sierpnia 2018 r. w sprawie postępowania kwalifikacyjnego do Służby Więziennej (Dz. U. z 2018 r.,  poz. 1631 z </w:t>
      </w:r>
      <w:proofErr w:type="spellStart"/>
      <w:r w:rsidRPr="00870D91">
        <w:rPr>
          <w:rFonts w:ascii="Source Sans Pro" w:hAnsi="Source Sans Pro"/>
          <w:color w:val="333333"/>
          <w:sz w:val="22"/>
          <w:szCs w:val="22"/>
        </w:rPr>
        <w:t>późn</w:t>
      </w:r>
      <w:proofErr w:type="spellEnd"/>
      <w:r w:rsidRPr="00870D91">
        <w:rPr>
          <w:rFonts w:ascii="Source Sans Pro" w:hAnsi="Source Sans Pro"/>
          <w:color w:val="333333"/>
          <w:sz w:val="22"/>
          <w:szCs w:val="22"/>
        </w:rPr>
        <w:t>. zm.) zarządza wszczęcie postępowania kwalifikacyjnego na stanowisko:</w:t>
      </w:r>
    </w:p>
    <w:p w14:paraId="1CD38EBF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b/>
          <w:bCs/>
          <w:color w:val="333333"/>
          <w:sz w:val="22"/>
          <w:szCs w:val="22"/>
        </w:rPr>
        <w:t>strażnik działu ochrony</w:t>
      </w:r>
      <w:r w:rsidRPr="00870D91">
        <w:rPr>
          <w:rFonts w:ascii="Source Sans Pro" w:hAnsi="Source Sans Pro"/>
          <w:color w:val="333333"/>
          <w:sz w:val="22"/>
          <w:szCs w:val="22"/>
        </w:rPr>
        <w:t> – w następujących jednostkach organizacyjnych:</w:t>
      </w:r>
    </w:p>
    <w:p w14:paraId="6304AD26" w14:textId="0F7E65C4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b/>
          <w:bCs/>
          <w:color w:val="333333"/>
          <w:sz w:val="22"/>
          <w:szCs w:val="22"/>
        </w:rPr>
      </w:pPr>
      <w:r w:rsidRPr="00870D91">
        <w:rPr>
          <w:rFonts w:ascii="Source Sans Pro" w:hAnsi="Source Sans Pro"/>
          <w:b/>
          <w:bCs/>
          <w:color w:val="333333"/>
          <w:sz w:val="22"/>
          <w:szCs w:val="22"/>
        </w:rPr>
        <w:t>Areszt Śledczy w Grójcu, ul. Armii Krajowej 21, 05-600 Grójec:</w:t>
      </w:r>
      <w:r w:rsidRPr="00870D91">
        <w:rPr>
          <w:rFonts w:ascii="Source Sans Pro" w:hAnsi="Source Sans Pro"/>
          <w:b/>
          <w:bCs/>
          <w:color w:val="333333"/>
          <w:sz w:val="22"/>
          <w:szCs w:val="22"/>
        </w:rPr>
        <w:br/>
        <w:t>- planowa liczba przyjęć maksymalnie 15  osób;</w:t>
      </w:r>
    </w:p>
    <w:p w14:paraId="796702E6" w14:textId="280D595A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Praca w systemie jednozmianowym lub wielozmianowym, w bezpośrednim kontakcie z osobami pozbawionymi wolności.</w:t>
      </w:r>
    </w:p>
    <w:p w14:paraId="7FE73726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Planowany termin przyjęcia do służby:</w:t>
      </w:r>
    </w:p>
    <w:p w14:paraId="5FA58044" w14:textId="0E375865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IV kwartał 2022 roku oraz I – IV kwartał 2023</w:t>
      </w:r>
    </w:p>
    <w:p w14:paraId="6B369CBF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Służbę w Służbie Więziennej może pełnić osoba spełniająca nw. wymagania formalne:</w:t>
      </w:r>
    </w:p>
    <w:p w14:paraId="292848BE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posiadająca obywatelstwo polskie;</w:t>
      </w:r>
    </w:p>
    <w:p w14:paraId="097B7685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posiadająca uregulowany stosunek do służby wojskowej;</w:t>
      </w:r>
    </w:p>
    <w:p w14:paraId="607E8975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korzystająca z pełni praw publicznych;</w:t>
      </w:r>
    </w:p>
    <w:p w14:paraId="716C2FBB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która daje rękojmię prawidłowego wykonywania powierzonych zadań;</w:t>
      </w:r>
    </w:p>
    <w:p w14:paraId="5E701E28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która nie była skazana prawomocnym wyrokiem sądu za przestępstwo umyślne lub umyślne prze</w:t>
      </w:r>
      <w:r w:rsidRPr="00870D91">
        <w:rPr>
          <w:rFonts w:ascii="Source Sans Pro" w:hAnsi="Source Sans Pro"/>
          <w:color w:val="333333"/>
          <w:sz w:val="22"/>
          <w:szCs w:val="22"/>
        </w:rPr>
        <w:softHyphen/>
        <w:t>stępstwo skarbowe albo wobec której nie został wydany prawomocny wyrok warunkowo umarzający postępowanie karne o takie przestępstwo, a także nie toczy się przeciwko  niej postępowanie karne o takie przestępstwo;</w:t>
      </w:r>
    </w:p>
    <w:p w14:paraId="0E41BCE0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dająca rękojmię zachowania tajemnicy stosownie do wymogów określonych w przepisach o ochronie informacji niejawnych;</w:t>
      </w:r>
    </w:p>
    <w:p w14:paraId="0AF796C6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posiadająca co najmniej wykształcenie średnie lub średnie branżowe;</w:t>
      </w:r>
    </w:p>
    <w:p w14:paraId="575FE2A6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posiadająca zdolność fizyczną i psychiczną do pełnienia służby.</w:t>
      </w:r>
    </w:p>
    <w:p w14:paraId="1486E767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Dokumenty jakie należy przesłać w celu wszczęcia postępowania kwalifikacyjnego:</w:t>
      </w:r>
    </w:p>
    <w:p w14:paraId="16681FE1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podanie o przyjęcie do służby ze wskazaniem działu służby i stanowiska, o które się ubiega wraz z numerem telefonu oraz adresem e-mail;</w:t>
      </w:r>
    </w:p>
    <w:p w14:paraId="339BBCD3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wypełnioną ankietę personalną (będącą załącznikiem nr 1 do ogłoszenia);</w:t>
      </w:r>
    </w:p>
    <w:p w14:paraId="78A7CC6E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kserokopie świadectw pracy lub służby (oryginały do wglądu podczas rozmowy kwalifikacyjnej oraz w dniu przyjęcia do służby);</w:t>
      </w:r>
    </w:p>
    <w:p w14:paraId="585A99BC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lastRenderedPageBreak/>
        <w:t>kserokopie dokumentów potwierdzających posiadane wykształcenie, kwalifikacje zawodowe i specjalistyczne (oryginały do wglądu podczas rozmowy kwalifikacyjnej  oraz w dniu przyjęcia  do służby);</w:t>
      </w:r>
    </w:p>
    <w:p w14:paraId="26C8B237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kserokopia książeczki wojskowej – z zapisem o uregulowanym stosunku do służby wojskowej (oryginał do wglądu podczas rozmowy kwalifikacyjnej oraz w dniu przyjęcia do służby);</w:t>
      </w:r>
    </w:p>
    <w:p w14:paraId="7C69B78D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oświadczenie kandydata o zdolności do wykonywania ćwiczeń fizycznych.;</w:t>
      </w:r>
    </w:p>
    <w:p w14:paraId="7EB398AD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zgoda kandydata na sprawdzenie posiadanego wykształcenia;</w:t>
      </w:r>
    </w:p>
    <w:p w14:paraId="4AF519CF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zgoda na przetwarzanie danych RODO;</w:t>
      </w:r>
    </w:p>
    <w:p w14:paraId="37EC08DE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· zgoda na przetwarzanie danych osobowych w celu przeprowadzenia procesu rekrutacji;</w:t>
      </w:r>
    </w:p>
    <w:p w14:paraId="751D1159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Miejsce i termin składania wyżej wymienionych dokumentów:</w:t>
      </w:r>
    </w:p>
    <w:p w14:paraId="758DE83D" w14:textId="1DC843C5" w:rsidR="00870D91" w:rsidRPr="00870D91" w:rsidRDefault="00870D91" w:rsidP="00870D9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Wymagane dokumenty należy składać w terminie </w:t>
      </w:r>
      <w:r w:rsidRPr="00870D91">
        <w:rPr>
          <w:rStyle w:val="Pogrubienie"/>
          <w:rFonts w:ascii="inherit" w:hAnsi="inherit"/>
          <w:color w:val="333333"/>
          <w:sz w:val="22"/>
          <w:szCs w:val="22"/>
          <w:bdr w:val="none" w:sz="0" w:space="0" w:color="auto" w:frame="1"/>
        </w:rPr>
        <w:t>do dnia 12 grudnia 2022 r</w:t>
      </w:r>
      <w:r w:rsidRPr="00870D91">
        <w:rPr>
          <w:rFonts w:ascii="Source Sans Pro" w:hAnsi="Source Sans Pro"/>
          <w:color w:val="333333"/>
          <w:sz w:val="22"/>
          <w:szCs w:val="22"/>
        </w:rPr>
        <w:t>. drogą elektroniczną (format pdf), a w przypadku braku takiej możliwości, za pomocą przesyłki pocztowej poleconej (liczy się data wpływu do jednostki) na  poniższy adres:</w:t>
      </w:r>
    </w:p>
    <w:p w14:paraId="60262C16" w14:textId="43E45358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rekrutacja_oiswwarszawa@sw.gov.pl</w:t>
      </w:r>
    </w:p>
    <w:p w14:paraId="33764220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Okręgowy Inspektorat Służby Więziennej</w:t>
      </w:r>
    </w:p>
    <w:p w14:paraId="5AD3A24F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Ul. Wiśniowa 50</w:t>
      </w:r>
    </w:p>
    <w:p w14:paraId="0DF45428" w14:textId="1012EBA4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02-520 Warszawa</w:t>
      </w:r>
    </w:p>
    <w:p w14:paraId="3A8257DF" w14:textId="26DC9FC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LUB BEZSPOŚREDNIO SKŁADAĆ DO JEDNOSTEK ORGANIZACYJNYCH, W KTÓRYCH AKTUALNIE PROWADZONY JEST NABÓR NA OKREŚLONE STANOWISKO SŁUŻBOWE </w:t>
      </w:r>
    </w:p>
    <w:p w14:paraId="6DF8B09B" w14:textId="5F5CB425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 z adnotacją „Nabór na stanowisko strażnika działu ochrony”.</w:t>
      </w:r>
    </w:p>
    <w:p w14:paraId="1623E2DD" w14:textId="4AA7F2D1" w:rsidR="00870D91" w:rsidRPr="00870D91" w:rsidRDefault="00870D91" w:rsidP="00870D9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W przypadku niezłożenia wyżej wymienionych wymaganych dokumentów </w:t>
      </w:r>
      <w:r w:rsidRPr="00870D91">
        <w:rPr>
          <w:rStyle w:val="Pogrubienie"/>
          <w:rFonts w:ascii="inherit" w:hAnsi="inherit"/>
          <w:color w:val="333333"/>
          <w:sz w:val="22"/>
          <w:szCs w:val="22"/>
          <w:bdr w:val="none" w:sz="0" w:space="0" w:color="auto" w:frame="1"/>
        </w:rPr>
        <w:t>do 12 grudnia 2022 r</w:t>
      </w:r>
      <w:r w:rsidRPr="00870D91">
        <w:rPr>
          <w:rFonts w:ascii="Source Sans Pro" w:hAnsi="Source Sans Pro"/>
          <w:color w:val="333333"/>
          <w:sz w:val="22"/>
          <w:szCs w:val="22"/>
        </w:rPr>
        <w:t>. Dyrektor Okręgowy Służby Więziennej w Warszawie odmówi poddania kandydata postępowaniu kwalifikacyjnemu.</w:t>
      </w:r>
    </w:p>
    <w:p w14:paraId="79C2EB29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Postępowanie kwalifikacyjne składa się z następujących etapów:</w:t>
      </w:r>
    </w:p>
    <w:p w14:paraId="45C46A8C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etapu wstępnego obejmującego:</w:t>
      </w:r>
    </w:p>
    <w:p w14:paraId="1B385102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ocenę złożonych dokumentów i wstępną kwalifikację kandydatów z podziałem na dział służby i stanowisko służbowe;</w:t>
      </w:r>
    </w:p>
    <w:p w14:paraId="5A886C87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przeprowadzenie rozmowy kwalifikacyjnej, w trakcie której ocenie podlegają kompetencje personalne i społeczne kandydata (możliwość uzyskania od 1 do 30 punktów); ROZMOWY KWALIFIKACYJNE W PRZYPADKU ZAISTNIAŁEJ KONIECZNOŚCI PRZEPROWADZONE ZOSTANĄ PRZEZ WIDEO POŁĄCZENIE;</w:t>
      </w:r>
    </w:p>
    <w:p w14:paraId="3EB856BA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 xml:space="preserve">przeprowadzenie testu wiedzy w zakresie funkcjonowania władzy publicznej  oraz bezpieczeństwa państwa i porządku publicznego (możliwość uzyskania od 1 do 30 punktów); TEST WIEDZY ZGODNIE Z § 8 ROZPORZĄDZENIEM MINISTRA SPRAWIEDLIWOŚCI Z DNIA 1 SIERPNIA 2018 </w:t>
      </w:r>
      <w:r w:rsidRPr="00870D91">
        <w:rPr>
          <w:rFonts w:ascii="Source Sans Pro" w:hAnsi="Source Sans Pro"/>
          <w:color w:val="333333"/>
          <w:sz w:val="22"/>
          <w:szCs w:val="22"/>
        </w:rPr>
        <w:lastRenderedPageBreak/>
        <w:t>ROKU W SPRAWIE POSTĘPOWANIA KWALIFIKACYJNEGO DO SŁUŻBY WIĘZIENNEJ MOŻE ZOSTAĆ PRZEPROWADZONY Z WYKORZYSTANIEM SYSYTEMU TELEINFORMATYCZNEGO;</w:t>
      </w:r>
    </w:p>
    <w:p w14:paraId="40E3F5B0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uzyskanie informacji o kandydacie z Krajowego Rejestru Karnego;</w:t>
      </w:r>
    </w:p>
    <w:p w14:paraId="04552BCB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przeprowadzenie testu sprawności fizycznej kandydata, w zakresie określonym w Rozporządzeniu Ministra Sprawiedliwości z dnia 12 lipca 2018 r. zmieniające rozporządzenie w sprawie przeprowadzania testu sprawności fizycznej w Służbie Więziennej (Dz. U. z 2018. poz. 1573) (możliwość uzyskania od 0 do 30 punktów); INFORMACJA O ZASADACH PRZEPROWADZENIA TESTU SPRAWNOŚCI FIZYCZNEJ ZOSTANIE PRZEKAZANIA W TERMINIE PÓŹNIEJSZYM;</w:t>
      </w:r>
    </w:p>
    <w:p w14:paraId="527DCFD4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sporządzenie arkusza oceny kandydata;</w:t>
      </w:r>
    </w:p>
    <w:p w14:paraId="3F9AE3FD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wyłonienie kandydatów dopuszczonych do kolejnych etapów postępowania kwalifikacyjnego, mając na względzie potrzeby etatowe służby oraz dotychczasowe wyniki uzyskane w trakcie etapu wstępnego;</w:t>
      </w:r>
    </w:p>
    <w:p w14:paraId="342930EF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etapu obejmującego utworzenie rankingu kandydatów, którzy pozytywnie ukończyli etap wstępny, przez podmiot właściwy w sprawie przeprowadzenia postępowania kwalifikacyjnego;</w:t>
      </w:r>
    </w:p>
    <w:p w14:paraId="61CB3DF2" w14:textId="2FEB823A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etapu końcowego obejmującego ustalenie zdolności fizycznej i psychicznej do służby</w:t>
      </w:r>
      <w:r w:rsidRPr="00870D91">
        <w:rPr>
          <w:rFonts w:ascii="Source Sans Pro" w:hAnsi="Source Sans Pro"/>
          <w:color w:val="333333"/>
          <w:sz w:val="22"/>
          <w:szCs w:val="22"/>
        </w:rPr>
        <w:br/>
        <w:t>w Służbie Więziennej, przez komisje lekarskie, o których mowa w art. 110 ust. 1; w ramach ustalenia zdolności psychicznej do służby badania psychologiczne mogą być wykonywane przez podmioty określone w art. 110 ust. 1a.</w:t>
      </w:r>
    </w:p>
    <w:p w14:paraId="4D1456CA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Kandydatom umieszczonym w rankingu przysługuje wybór jednostki organizacyjnej, w której istnieje wakat zgodny z ich kwalifikacjami i potrzebami Służby Więziennej, według kolejności miejsca zajmowanego w rankingu.</w:t>
      </w:r>
    </w:p>
    <w:p w14:paraId="10D81C04" w14:textId="20455D1F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Kandydaci w terminie wyznaczonym w ogłoszeniu przedstawiającym ranking przesyłają  do Okręgowego Inspektoratu Służby Więziennej w Warszawie oświadczenie w pisemnej formie informujące o dokonanym przez siebie wyborze jednostki organizacyjnej.</w:t>
      </w:r>
    </w:p>
    <w:p w14:paraId="4DB770C3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Jeżeli potrzeby służby i istniejące wakaty to uzasadniają, istnieje możliwość dokonania uzupełniającego wyboru, w ramach wskazanych wakatów w jednostkach organizacyjnych, przez kandydatów, którzy:</w:t>
      </w:r>
    </w:p>
    <w:p w14:paraId="116DC23C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nie wyrazili zgody na wyznaczone w postępowaniu miejsce pełnienia służby;</w:t>
      </w:r>
    </w:p>
    <w:p w14:paraId="3AC11FA9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nie uzyskali pozytywnego rozstrzygnięcia;</w:t>
      </w:r>
    </w:p>
    <w:p w14:paraId="770A17C7" w14:textId="763CF7F2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zostali umieszczeni na liście rezerwowej.</w:t>
      </w:r>
    </w:p>
    <w:p w14:paraId="68CF66BA" w14:textId="6B0ECD40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Termin uzupełniającego wyboru zostanie określony w ogłoszeniu przedstawiającym ranking kandydatów.</w:t>
      </w:r>
    </w:p>
    <w:p w14:paraId="77A4CA2E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Preferencje z tytułu posiadanego przez kandydata wykształcenia są oceniane w systemie punktowym w następujący sposób:</w:t>
      </w:r>
    </w:p>
    <w:p w14:paraId="07ED3409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wykształcenie wyższe (tytuł zawodowy magister, magister inżynier lub równorzędny uzyskany w uczelni wojskowej lub uczelni służb państwowych) - 30 punktów;</w:t>
      </w:r>
    </w:p>
    <w:p w14:paraId="31F1F159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lastRenderedPageBreak/>
        <w:t>wykształcenie wyższe (tytuł zawodowy magister, magister inżynier lub równorzędny) uzyskane po ukończeniu studiów na kierunku przydatnym do służby w Służbie Więziennej, związanym z kształceniem w zakresie prawa, resocjalizacji, profilaktyki społecznej, psychologii, ekonomii, bezpieczeństwa narodowego lub bezpieczeństwa wewnętrznego, informatyki, kierunku lekarskim, kierunku lekarsko-dentystycznym, farmacji, pielęgniarstwa, położnictwa lub ratownictwa medycznego oraz na kierunku związanym z kształceniem w zakresie nauk technicznych, w szczególności energetyki i budownictwa - 20 punktów;</w:t>
      </w:r>
    </w:p>
    <w:p w14:paraId="29C4A007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wykształcenie wyższe (tytuł zawodowy magister, magister inżynier lub równorzędny) uzyskane po ukończeniu studiów na kierunku innym niż wymieniony w pkt 1 i 2 - 15 punktów;</w:t>
      </w:r>
    </w:p>
    <w:p w14:paraId="773BE4F6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 wykształcenie wyższe (tytuł zawodowy licencjat, inżynier lub równorzędny uzyskany  w uczelni wojskowej lub uczelni służb państwowych) - 30 punktów;</w:t>
      </w:r>
    </w:p>
    <w:p w14:paraId="4FCBA8F4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 wykształcenie wyższe (tytuł zawodowy licencjat, inżynier lub równorzędny) - 15 punktów;</w:t>
      </w:r>
    </w:p>
    <w:p w14:paraId="531D6E95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wykształcenie średnie lub średnie branżowe uzyskane w szkole ponadgimnazjalnej lub ponadpodstawowej umożliwiającej uzyskanie świadectwa dojrzałości po zdaniu egzaminu maturalnego, w której kandydat zrealizował programy nauczania, o których mowa w art. 3 pkt 13b lub 13c ustawy z dnia 7 września 1991 r. o systemie oświaty (Dz. U. z 2017 r. poz. 2198, 2203 i 2361), uwzględniające cele kształcenia i treści nauczania związane ze służbą, w szczególności w Siłach Zbrojnych Rzeczypospolitej Polskiej, Policji, Służbie Więziennej, Straży Granicznej, Państwowej Straży Pożarnej - 30 punktów;</w:t>
      </w:r>
    </w:p>
    <w:p w14:paraId="3FEFBC22" w14:textId="2E809171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 wykształcenie średnie lub średnie branżowe - 10 punktów.</w:t>
      </w:r>
    </w:p>
    <w:p w14:paraId="4585ADD1" w14:textId="6FC6053B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W przypadku posiadania przez kandydata preferowanego wykształcenia na kilku kierunkach punkty uzyskane przez kandydata z tytułu posiadanego wykształcenia przyznaje się tylko raz w liczbie najkorzystniejszej dla kandydata.</w:t>
      </w:r>
    </w:p>
    <w:p w14:paraId="3469FE19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Preferencje z tytułu posiadanych przez kandydata umiejętności są oceniane w systemie punktowym w następujący sposób:</w:t>
      </w:r>
    </w:p>
    <w:p w14:paraId="6145D062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stopień naukowy lub tytuł naukowy – 30 punktów;</w:t>
      </w:r>
    </w:p>
    <w:p w14:paraId="4E582E7F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aplikacja radcowska, sędziowska, prokuratorska lub legislacyjna albo specjalizacja lekarska – 20 punktów;</w:t>
      </w:r>
    </w:p>
    <w:p w14:paraId="27FC9162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posiadanie uprawnień budowlanych – 10 punktów;</w:t>
      </w:r>
    </w:p>
    <w:p w14:paraId="1F622EE0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posiadanie tytułu ratownika lub ratownika medycznego – 10 punktów;</w:t>
      </w:r>
    </w:p>
    <w:p w14:paraId="14AD0BCA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posiadanie uprawnień instruktora sportów walki lub strzelectwa sportowego – 8 punktów;</w:t>
      </w:r>
    </w:p>
    <w:p w14:paraId="4DA9F1A4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posiadanie prawa jazdy kategorii „C” lub „D” – 10 punktów;</w:t>
      </w:r>
    </w:p>
    <w:p w14:paraId="44953FAF" w14:textId="387C08EE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posiadanie kwalifikacji w zakresie dozoru i eksploatacji urządzeń, sieci i instalacji energetycznych – 1 punkt.</w:t>
      </w:r>
    </w:p>
    <w:p w14:paraId="2CB8F212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Szczegółowe informacje dotyczące postępowania kwalifikacyjnego można uzyskać od poniedziałku do piątku w godzinach 8.00-15.00 pod nw. numerami telefonu jednostek:</w:t>
      </w:r>
    </w:p>
    <w:p w14:paraId="610A512C" w14:textId="1A3477DA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lastRenderedPageBreak/>
        <w:t>Areszt Śledczy w Grójcu, ul. Armii Krajowej 21, Grójec,</w:t>
      </w:r>
      <w:r w:rsidRPr="00870D91">
        <w:rPr>
          <w:rFonts w:ascii="Source Sans Pro" w:hAnsi="Source Sans Pro"/>
          <w:color w:val="333333"/>
          <w:sz w:val="22"/>
          <w:szCs w:val="22"/>
        </w:rPr>
        <w:br/>
        <w:t>nr tel. 662 184 834; 48 664 20 52 wew. 30;</w:t>
      </w:r>
      <w:r w:rsidRPr="00870D91">
        <w:rPr>
          <w:rFonts w:ascii="Source Sans Pro" w:hAnsi="Source Sans Pro"/>
          <w:color w:val="333333"/>
          <w:sz w:val="22"/>
          <w:szCs w:val="22"/>
        </w:rPr>
        <w:br/>
        <w:t>Okręgowego Inspektoratu Służby Więziennej w Warszawie ul. Wiśniowa 50</w:t>
      </w:r>
      <w:r w:rsidRPr="00870D91">
        <w:rPr>
          <w:rFonts w:ascii="Source Sans Pro" w:hAnsi="Source Sans Pro"/>
          <w:color w:val="333333"/>
          <w:sz w:val="22"/>
          <w:szCs w:val="22"/>
        </w:rPr>
        <w:br/>
        <w:t>nr tel. 695 886 606; 22 640 82 73, 22 640 82 63, 22 640 82 60, 22 640 82 59.</w:t>
      </w:r>
    </w:p>
    <w:p w14:paraId="4116489B" w14:textId="4FF55DE5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 Przebieg postępowania opisują szczegółowo następujące akty prawne:</w:t>
      </w:r>
    </w:p>
    <w:p w14:paraId="0EEC3110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art. 38 - 39g ustawy z dnia 9 kwietnia 2010 r. o Służbie Więziennej (Dz. U. z 2021 r. poz. 1064 z </w:t>
      </w:r>
      <w:proofErr w:type="spellStart"/>
      <w:r w:rsidRPr="00870D91">
        <w:rPr>
          <w:rFonts w:ascii="Source Sans Pro" w:hAnsi="Source Sans Pro"/>
          <w:color w:val="333333"/>
          <w:sz w:val="22"/>
          <w:szCs w:val="22"/>
        </w:rPr>
        <w:t>późn</w:t>
      </w:r>
      <w:proofErr w:type="spellEnd"/>
      <w:r w:rsidRPr="00870D91">
        <w:rPr>
          <w:rFonts w:ascii="Source Sans Pro" w:hAnsi="Source Sans Pro"/>
          <w:color w:val="333333"/>
          <w:sz w:val="22"/>
          <w:szCs w:val="22"/>
        </w:rPr>
        <w:t>. zm.);</w:t>
      </w:r>
    </w:p>
    <w:p w14:paraId="22FBBA56" w14:textId="3EBD6033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rozporządzenie Ministra Sprawiedliwości z dnia 1 sierpnia 2018 r. w sprawie postępowania kwalifikacyjnego do Służby Więziennej (Dz. U. z 2018 r. poz. 1631 z </w:t>
      </w:r>
      <w:proofErr w:type="spellStart"/>
      <w:r w:rsidRPr="00870D91">
        <w:rPr>
          <w:rFonts w:ascii="Source Sans Pro" w:hAnsi="Source Sans Pro"/>
          <w:color w:val="333333"/>
          <w:sz w:val="22"/>
          <w:szCs w:val="22"/>
        </w:rPr>
        <w:t>późn</w:t>
      </w:r>
      <w:proofErr w:type="spellEnd"/>
      <w:r w:rsidRPr="00870D91">
        <w:rPr>
          <w:rFonts w:ascii="Source Sans Pro" w:hAnsi="Source Sans Pro"/>
          <w:color w:val="333333"/>
          <w:sz w:val="22"/>
          <w:szCs w:val="22"/>
        </w:rPr>
        <w:t>. zm.).</w:t>
      </w:r>
    </w:p>
    <w:p w14:paraId="2E28311C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Dokumenty kandydatów, którzy nie zakwalifikują się do kolejnych etapów postępowania będą przechowywane przez czas archiwizacji dokumentacji, zgodnie z obowiązującymi przepisami.</w:t>
      </w:r>
    </w:p>
    <w:p w14:paraId="7182B118" w14:textId="5A71FD4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 </w:t>
      </w:r>
    </w:p>
    <w:p w14:paraId="10DDCE3F" w14:textId="5F2AB383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Podpisał:</w:t>
      </w:r>
    </w:p>
    <w:p w14:paraId="283E0CDF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DYREKTOR  OKRĘGOWY</w:t>
      </w:r>
    </w:p>
    <w:p w14:paraId="6F809383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Służby Więziennej w Warszawie</w:t>
      </w:r>
    </w:p>
    <w:p w14:paraId="01F8EBC5" w14:textId="15555669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/-/ płk Zbigniew Brzostek</w:t>
      </w:r>
    </w:p>
    <w:p w14:paraId="614581AD" w14:textId="33CAE264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 </w:t>
      </w:r>
    </w:p>
    <w:p w14:paraId="428CC0AF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Administratorem danych osobowych kandydatów jest Dyrektor Okręgowy Służby Więziennej w Warszawie, z siedzibą w Warszawie, ul. Wiśniowa 50 (tel. 22 640 82 51).</w:t>
      </w:r>
    </w:p>
    <w:p w14:paraId="2CC8D690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Inspektorem ochrony danych jest funkcjonariusz Okręgowego Inspektoratu Służby Więziennej w Warszawie, e-mail: iod_warszawa@sw.gov.pl, tel. 22 640 82 51.</w:t>
      </w:r>
    </w:p>
    <w:p w14:paraId="2FDC15C0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Dane osobowe kandydatów są przetwarzane w celu realizacji stosunku służbowego zgodnie z art. 6 ust. 1 lit. c oraz art. 9 ust. 2 lit. b oraz h RODO.</w:t>
      </w:r>
    </w:p>
    <w:p w14:paraId="293B2C83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Dane osobowe kandydatów będą udostępniane na podstawie przepisów prawa takim podmiotom, jak: jednostki organizacyjne Służby Więziennej, Zakład Ubezpieczeń Społecznych, urzędy skarbowe, podmioty wykonujące usługi wynikające z obowiązkowej profilaktyki zdrowotnej w zakresie medycyny pracy.</w:t>
      </w:r>
    </w:p>
    <w:p w14:paraId="5E27552F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Kandydaci posiadają prawo dostępu do treści swoich danych, ich sprostowania oraz żądania usunięcia, ograniczenia przetwarzania lub sprzeciwu wobec przetwarzania, z ograniczeniami wynikającymi z przepisów odrębnych, w szczególności przepisów o narodowym zasobie archiwalnym i archiwach.</w:t>
      </w:r>
    </w:p>
    <w:p w14:paraId="25FBE3BD" w14:textId="77777777" w:rsidR="00870D91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Kandydatom przysługuje prawo wniesienia skargi do Prezesa Urzędu Ochrony Danych Osobowych, gdy uznają,  że przetwarzanie ich danych osobowych narusza przepisy RODO.</w:t>
      </w:r>
    </w:p>
    <w:p w14:paraId="68A9ED84" w14:textId="05E0BEB5" w:rsidR="000946DB" w:rsidRPr="00870D91" w:rsidRDefault="00870D91" w:rsidP="00870D91">
      <w:pPr>
        <w:pStyle w:val="NormalnyWeb"/>
        <w:shd w:val="clear" w:color="auto" w:fill="FFFFFF"/>
        <w:spacing w:before="240" w:beforeAutospacing="0" w:after="240" w:afterAutospacing="0"/>
        <w:textAlignment w:val="baseline"/>
        <w:rPr>
          <w:rFonts w:ascii="Source Sans Pro" w:hAnsi="Source Sans Pro"/>
          <w:color w:val="333333"/>
          <w:sz w:val="22"/>
          <w:szCs w:val="22"/>
        </w:rPr>
      </w:pPr>
      <w:r w:rsidRPr="00870D91">
        <w:rPr>
          <w:rFonts w:ascii="Source Sans Pro" w:hAnsi="Source Sans Pro"/>
          <w:color w:val="333333"/>
          <w:sz w:val="22"/>
          <w:szCs w:val="22"/>
        </w:rPr>
        <w:t>Dane kandydatów nie będą podlegały zautomatyzowanemu podejmowaniu decyzji, w tym profilowaniu, o którym mowa w art. 22 ust. 1 i 4 RODO.</w:t>
      </w:r>
    </w:p>
    <w:sectPr w:rsidR="000946DB" w:rsidRPr="0087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90B"/>
    <w:multiLevelType w:val="multilevel"/>
    <w:tmpl w:val="11A2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C247F"/>
    <w:multiLevelType w:val="multilevel"/>
    <w:tmpl w:val="8CBC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21A0B"/>
    <w:multiLevelType w:val="multilevel"/>
    <w:tmpl w:val="ADF63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B7011"/>
    <w:multiLevelType w:val="multilevel"/>
    <w:tmpl w:val="33F8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82AD6"/>
    <w:multiLevelType w:val="multilevel"/>
    <w:tmpl w:val="216C8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DF5282"/>
    <w:multiLevelType w:val="multilevel"/>
    <w:tmpl w:val="3438C6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A42FE7"/>
    <w:multiLevelType w:val="multilevel"/>
    <w:tmpl w:val="E6B2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1846B4"/>
    <w:multiLevelType w:val="multilevel"/>
    <w:tmpl w:val="336C335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123682"/>
    <w:multiLevelType w:val="multilevel"/>
    <w:tmpl w:val="D03A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AD28CC"/>
    <w:multiLevelType w:val="multilevel"/>
    <w:tmpl w:val="CA58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641D4F"/>
    <w:multiLevelType w:val="multilevel"/>
    <w:tmpl w:val="52B4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D44B91"/>
    <w:multiLevelType w:val="multilevel"/>
    <w:tmpl w:val="9544C64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E07AC3"/>
    <w:multiLevelType w:val="multilevel"/>
    <w:tmpl w:val="AF0A8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3D112A"/>
    <w:multiLevelType w:val="multilevel"/>
    <w:tmpl w:val="72BE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FD1A7C"/>
    <w:multiLevelType w:val="multilevel"/>
    <w:tmpl w:val="9B14E2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F7349C"/>
    <w:multiLevelType w:val="multilevel"/>
    <w:tmpl w:val="2994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8479305">
    <w:abstractNumId w:val="14"/>
  </w:num>
  <w:num w:numId="2" w16cid:durableId="1342317312">
    <w:abstractNumId w:val="10"/>
  </w:num>
  <w:num w:numId="3" w16cid:durableId="538127345">
    <w:abstractNumId w:val="3"/>
  </w:num>
  <w:num w:numId="4" w16cid:durableId="225261710">
    <w:abstractNumId w:val="1"/>
  </w:num>
  <w:num w:numId="5" w16cid:durableId="1057775466">
    <w:abstractNumId w:val="2"/>
  </w:num>
  <w:num w:numId="6" w16cid:durableId="1619408476">
    <w:abstractNumId w:val="5"/>
  </w:num>
  <w:num w:numId="7" w16cid:durableId="352342906">
    <w:abstractNumId w:val="8"/>
  </w:num>
  <w:num w:numId="8" w16cid:durableId="1002047175">
    <w:abstractNumId w:val="7"/>
  </w:num>
  <w:num w:numId="9" w16cid:durableId="499778299">
    <w:abstractNumId w:val="6"/>
  </w:num>
  <w:num w:numId="10" w16cid:durableId="700743254">
    <w:abstractNumId w:val="11"/>
  </w:num>
  <w:num w:numId="11" w16cid:durableId="527528115">
    <w:abstractNumId w:val="12"/>
  </w:num>
  <w:num w:numId="12" w16cid:durableId="390232053">
    <w:abstractNumId w:val="4"/>
  </w:num>
  <w:num w:numId="13" w16cid:durableId="1802502197">
    <w:abstractNumId w:val="15"/>
  </w:num>
  <w:num w:numId="14" w16cid:durableId="753162179">
    <w:abstractNumId w:val="13"/>
  </w:num>
  <w:num w:numId="15" w16cid:durableId="330640959">
    <w:abstractNumId w:val="0"/>
  </w:num>
  <w:num w:numId="16" w16cid:durableId="8214609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DB"/>
    <w:rsid w:val="0005099B"/>
    <w:rsid w:val="000946DB"/>
    <w:rsid w:val="0016472C"/>
    <w:rsid w:val="0029225B"/>
    <w:rsid w:val="002B4D5B"/>
    <w:rsid w:val="002F5FC2"/>
    <w:rsid w:val="003746A5"/>
    <w:rsid w:val="003A6357"/>
    <w:rsid w:val="003F72A8"/>
    <w:rsid w:val="004930B1"/>
    <w:rsid w:val="00615B89"/>
    <w:rsid w:val="00870D91"/>
    <w:rsid w:val="008A5520"/>
    <w:rsid w:val="00914B60"/>
    <w:rsid w:val="00A817A1"/>
    <w:rsid w:val="00B9352E"/>
    <w:rsid w:val="00BD08BD"/>
    <w:rsid w:val="00D4480F"/>
    <w:rsid w:val="00D51527"/>
    <w:rsid w:val="00F5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4578"/>
  <w15:chartTrackingRefBased/>
  <w15:docId w15:val="{F1E862C6-9F08-47A0-AFAA-6458AFFB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635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93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1647</Words>
  <Characters>9885</Characters>
  <Application>Microsoft Office Word</Application>
  <DocSecurity>0</DocSecurity>
  <Lines>82</Lines>
  <Paragraphs>23</Paragraphs>
  <ScaleCrop>false</ScaleCrop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Styś</dc:creator>
  <cp:keywords/>
  <dc:description/>
  <cp:lastModifiedBy>Piotr Styś</cp:lastModifiedBy>
  <cp:revision>20</cp:revision>
  <dcterms:created xsi:type="dcterms:W3CDTF">2022-01-21T11:18:00Z</dcterms:created>
  <dcterms:modified xsi:type="dcterms:W3CDTF">2022-11-28T13:21:00Z</dcterms:modified>
</cp:coreProperties>
</file>